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Каковы юридические последствия признания организации экстремистской или террористической ?</w:t>
      </w:r>
    </w:p>
    <w:p w14:paraId="02000000">
      <w:pPr>
        <w:pStyle w:val="Style_1"/>
        <w:rPr>
          <w:rFonts w:ascii="Times New Roman" w:hAnsi="Times New Roman"/>
          <w:sz w:val="24"/>
        </w:rPr>
      </w:pPr>
      <w:r>
        <w:t xml:space="preserve">Поясняет прокурор Большеглушицкого района Алексей Чуцков: </w:t>
      </w:r>
      <w:r>
        <w:rPr>
          <w:rStyle w:val="Style_2_ch"/>
          <w:rFonts w:ascii="Times New Roman" w:hAnsi="Times New Roman"/>
          <w:sz w:val="24"/>
        </w:rPr>
        <w:t>организация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террористическими-наказывается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 ( ст. 282.2 УК РФ).</w:t>
      </w:r>
    </w:p>
    <w:p w14:paraId="03000000">
      <w:pPr>
        <w:pStyle w:val="Style_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Возможно ли освобождение от уголовной ответственности за совершение данного преступления?</w:t>
      </w:r>
    </w:p>
    <w:p w14:paraId="04000000">
      <w:pPr>
        <w:pStyle w:val="Style_1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Лицо, впервые совершившее преступление, предусмотренное настоящей статьей, и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</w:t>
      </w:r>
    </w:p>
    <w:p w14:paraId="05000000">
      <w:pPr>
        <w:pStyle w:val="Style_1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Дата публикации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5"/>
    <w:link w:val="Style_13_ch"/>
    <w:rPr>
      <w:color w:themeColor="hyperlink" w:val="0563C1"/>
      <w:u w:val="single"/>
    </w:rPr>
  </w:style>
  <w:style w:styleId="Style_13_ch" w:type="character">
    <w:name w:val="Hyperlink"/>
    <w:basedOn w:val="Style_5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2025-09-22T14:21:08Z</dcterms:modified>
</cp:coreProperties>
</file>