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Предоставление  ежегодной денежной выплаты на обеспечение одеждой  обучающ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ихся общеобразовательных организаций из многодетных семей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1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(дополнительная МСП многодетным семьям)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6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1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701"/>
        <w:gridCol w:w="8895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Постановление Правительства Самарской области  от 26.04.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2024 № 303 «Об отдельных вопросах реализации Закона Самарской области от 16.07.2004 № 122-ГД « О государственной поддержке граждан, имеющих детей»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11 000  рублей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на обеспечение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каждого ребенка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из  многодетной семьи, являющегося обучающимся общеобразовательной  организации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(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школьник)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 соответствии с установленными нормативами обеспечения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одеждой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для посещения учебных занятий, а также спорти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вной формой на весь  период обучения.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Получателями  выплаты являются постоянно проживающие  (пребывающие) на территории Самарской области многодетные семьи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64"/>
              <w:ind w:firstLine="708"/>
              <w:jc w:val="both"/>
              <w:spacing w:after="0" w:afterAutospacing="0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Под многодетной семьей в Самарской области понимается семья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все члены которой являются  граж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имеющая трех и более детей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(включая рожденных (усыновленных),  приемных и (или) находящихся под опекой (попе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чительством)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в возрасте до  18 лет и (или) 23 лет при условии их обучения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по очной форме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обучения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территориях Укр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64"/>
              <w:ind w:firstLine="540"/>
              <w:jc w:val="both"/>
              <w:spacing w:before="220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При определении права на дополнительные меры социальной поддержки многодетных семей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в составе семьи: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  <w:p>
            <w:pPr>
              <w:pStyle w:val="864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учитываются дети, находящиеся на полном государственном обеспечен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ии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(за исключением детей, находящихся на полном государственном обеспечении в организациях для детей-сирот и детей, оставшихся без попечения родителей).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При этом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дополнительные меры социальной поддержки многодетных семей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указанным детям не предоставляются;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4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не учитываются дети,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 отношении которых оба родителя или един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ственный родитель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лишены родительских пра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(ограничены в родительских правах) или в отношении которых отменено усыновление, дети, приобретшие дееспособность в полном объеме в связи с эмансипацией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или вступлением в брак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(за исключением случаев, указанных в понятии «многодетной семьи» см. выше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).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При этом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дополнительные меры социальной поддержки многодетных семей указанным детям не предоставляются.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4"/>
              <w:ind w:firstLine="0"/>
              <w:jc w:val="both"/>
              <w:spacing w:after="0" w:afterAutospacing="0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Имеют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право на ежегодную  выплату, если  не получали ежегодное единовременное пособие на ребенка к началу учебного года,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64"/>
              <w:ind w:firstLine="0"/>
              <w:jc w:val="both"/>
              <w:spacing w:after="0" w:afterAutospacing="0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 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Возраст детей и их количество определяется на дату обращения за ежегодной денежной выплатой.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64"/>
              <w:ind w:firstLine="0"/>
              <w:jc w:val="both"/>
              <w:spacing w:after="0" w:afterAutospacing="0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  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Предоставление  выплаты осуществляется на основании  заявления одного из родителей (усыновителей, приемных родителей,  опекунов (попечителей)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поданного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  период с 1 августа по 31 октября текущего года.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через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Единый  портал государственных и муниципальных услуг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Необходи-мые документы (сведения)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течение 10 рабочих дней со дня подачи заявления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*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а)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документ, удостоверяющий личность заявителя (при личном обращении), а также ребенка (детей) старше 14 лет, указанного(ых) в заявлении;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б) документ (сведения) Федеральной налоговой службы из Единого государственного реестра записей актов гражданского состояния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u w:val="single"/>
              </w:rPr>
              <w:t xml:space="preserve">о рождении всех детей и наличии у них гражданства Российской Федерации. </w:t>
            </w:r>
            <w:r>
              <w:rPr>
                <w:rFonts w:ascii="Tinos" w:hAnsi="Tinos" w:cs="Tinos"/>
                <w:color w:val="000000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* Д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</w:t>
            </w:r>
            <w:r>
              <w:rPr>
                <w:rStyle w:val="865"/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кументы ( сведения)   о рождении детей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 случае регис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т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рации записи соответствующего акта компетентным органом иностранного государства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 в) сведения (документы) из общеобразовательной организации о получении общего образования в данной организации (для учащегося общеобразовательной организации),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или сведения, представленные органами местного самоуправления, осуществляющими полномочия в сфере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образования, о получении общего образования в форме семейного образования (для учащегося, получающего образование в форме семейного образования),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* а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также сведения (документы) об обучении ребенка (детей) в организации, осуществляющей образовательную деятел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ьность, по очной форме обучения до достижения им (ими) возраста 23 лет;</w:t>
            </w:r>
            <w:r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   г) сведения Министерства внутренних дел РФ о регистрации по месту жительства или пребывания на территории Самарской области заявителя, а также ребенка (детей).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случае отсутствия регистрации по месту жительства или пребывания на территории Самарской области заявителя и его  детей заявитель представляет иные документы, подтвержд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ающие факт пребывания на территории Самарской области (решение суда об установлении факта проживания на территории Самарской области, договор найма жилого помещения, договор безвозмездного пользования жилым помещением, заключенные в соответствии с нормами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действующего законодательства);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д) информация  о неполучении   иной аналогичной ежегодной денежной выплаты многодетным семьям (в случае подачи заявления в орган, осуществл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яющий социальную поддержку населения по месту пребывания, при наличии у заявителя регистрации по месту жительства за пределами Самарской области) или соответствующие сведения из государственной информационной системы "Единая централизованная цифровая платф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орма в социальной сфере"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сведения по ЕГИССО;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е) сведения Фонда пенсионного и социального страхования РФ об отсутствии факта лишения (ограничения) родительских прав, отобрания ребенка (детей) при непосредственной угрозе его (их) жизни или здоровью на дату обращения;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з) сведения Фонда пенсионного и социального страхования РФ об установлении над ребенком (детьми) опеки (попечительства).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Документы (сведения) могут быть представлены заявителем по собственной инициативе.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Способ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счет заявителя, открытый им в кредитной организации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либо через отделение федеральной почтовой связи 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каб.7,15, тел. 8(846 73)  2-13-07, 2-13-08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709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Font Style12"/>
    <w:next w:val="840"/>
    <w:link w:val="832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14</cp:revision>
  <dcterms:modified xsi:type="dcterms:W3CDTF">2025-07-29T05:49:31Z</dcterms:modified>
</cp:coreProperties>
</file>