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Оказание 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государственной социальной помощи на основании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63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социального контракта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2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842"/>
        <w:gridCol w:w="9037"/>
      </w:tblGrid>
      <w:tr>
        <w:tblPrEx/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9037" w:type="dxa"/>
            <w:textDirection w:val="lrTb"/>
            <w:noWrap w:val="false"/>
          </w:tcPr>
          <w:p>
            <w:pPr>
              <w:pStyle w:val="863"/>
              <w:ind w:firstLine="0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Постановл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ние Правительства РФ от 16.11.2023 № 1931 «Об оказании субъектам РФ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ФЗ «О государственной социальной помощи»;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Закон Самарской области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от 06.05.2000 г. №16-ГД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«О социальной помощи в Сама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ской области»; </w:t>
            </w:r>
            <w:r>
              <w:rPr>
                <w:rFonts w:ascii="Tinos" w:hAnsi="Tinos" w:eastAsia="Tinos" w:cs="Tinos"/>
              </w:rPr>
            </w:r>
          </w:p>
          <w:p>
            <w:pPr>
              <w:pStyle w:val="863"/>
              <w:ind w:firstLine="360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Приказ министерства гуманитарного и социального развития Самарской области от 31.01.2006 № 7 «Об оказании социальной помощи малоимущим семьям и малоимущим одиноко проживающим гражданам Самарской области»;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3"/>
              <w:ind w:firstLine="360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Приказ министерства социально-демографической и семейной политики Самарской области от 22.07.2024 № 517 «Об утверждении Административного регламента «Оказание государственной социальной помощи на основании социального контракта»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Общие условия получения СК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9037" w:type="dxa"/>
            <w:textDirection w:val="lrTb"/>
            <w:noWrap w:val="false"/>
          </w:tcPr>
          <w:p>
            <w:pPr>
              <w:pStyle w:val="856"/>
              <w:contextualSpacing/>
              <w:ind w:firstLine="0"/>
              <w:jc w:val="both"/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white"/>
              </w:rPr>
              <w:t xml:space="preserve">      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white"/>
              </w:rPr>
              <w:t xml:space="preserve">Право на государственную социальную помощь на основании СК возникает в случае, если размер среднедушевого дохода семьи, дохода одиноко проживающего гражданина 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white"/>
              </w:rPr>
              <w:t xml:space="preserve">по независящим от них причинам ниже величины прожиточного минимума на душу населения, установленного в Самарской области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16669 руб.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nos" w:hAnsi="Tinos" w:cs="Tino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В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white"/>
              </w:rPr>
              <w:t xml:space="preserve"> состав семьи  при расчете среднедушевого дохода семьи, включаются заявитель, его суп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white"/>
              </w:rPr>
              <w:t xml:space="preserve">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white"/>
              </w:rPr>
              <w:t xml:space="preserve">шего образования по очной форме обучения (за исключением обучающихся по дополнительным образовательным программам).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63"/>
              <w:jc w:val="center"/>
              <w:spacing w:line="240" w:lineRule="auto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Категории получателей: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863"/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   -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семьи с детьм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3"/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-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семьи с неработающими пенс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ионерами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инвалидами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лицами предпенсионного возраста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3"/>
              <w:jc w:val="both"/>
              <w:spacing w:line="240" w:lineRule="auto"/>
              <w:rPr>
                <w:rFonts w:ascii="Tinos" w:hAnsi="Tinos" w:cs="Tinos"/>
                <w:color w:val="ff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-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одиноко проживающие пенсионеры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инвалиды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и лица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предпенсион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ного в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озраст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eastAsia="Tinos" w:cs="Tinos"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color w:val="ff0000"/>
                <w:sz w:val="24"/>
                <w:szCs w:val="24"/>
              </w:rPr>
            </w:r>
          </w:p>
          <w:p>
            <w:pPr>
              <w:pStyle w:val="863"/>
              <w:jc w:val="both"/>
              <w:spacing w:line="240" w:lineRule="auto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-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тр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удоспособные граждане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pStyle w:val="864"/>
              <w:jc w:val="both"/>
              <w:spacing w:before="0" w:beforeAutospacing="0" w:after="0" w:afterAutospacing="0" w:line="240" w:lineRule="auto"/>
              <w:rPr>
                <w:rFonts w:ascii="Tinos" w:hAnsi="Tinos" w:cs="Tinos"/>
                <w:sz w:val="24"/>
                <w:szCs w:val="24"/>
                <w:highlight w:val="none"/>
                <w:u w:val="none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  <w:u w:val="none"/>
              </w:rPr>
              <w:t xml:space="preserve">     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приоритетном порядке право на оказание государственной социальной  помощи на основании СК предоставляется семьям,  имеющим трех и более детей (включая рожденных (усыновленных), приемных и  (или) находящихся под опекой (попечительством)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возрасте до  восемнадцати лет и (или) двадцати трех лет при условии их (его) обучения  в организации, осуществляющей образовательную деятельность, по очной  форме обучения.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ascii="Tinos" w:hAnsi="Tinos" w:cs="Tinos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rFonts w:ascii="Tinos" w:hAnsi="Tinos" w:cs="Tinos"/>
                <w:b/>
                <w:bCs/>
                <w:i/>
                <w:iCs/>
                <w:sz w:val="24"/>
                <w:szCs w:val="24"/>
                <w:highlight w:val="none"/>
                <w:u w:val="none"/>
              </w:rPr>
            </w:pPr>
            <w:r>
              <w:rPr>
                <w:rFonts w:ascii="Tinos" w:hAnsi="Tinos" w:eastAsia="Tinos" w:cs="Tinos"/>
                <w:i/>
                <w:iCs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i/>
                <w:iCs/>
                <w:sz w:val="24"/>
                <w:szCs w:val="24"/>
                <w:u w:val="none"/>
              </w:rPr>
              <w:t xml:space="preserve">СК может быть заключен на выполнение одного из мероприятий:</w:t>
            </w:r>
            <w:r>
              <w:rPr>
                <w:rFonts w:ascii="Tinos" w:hAnsi="Tinos" w:eastAsia="Tinos" w:cs="Tinos"/>
                <w:b/>
                <w:bCs/>
                <w:i/>
                <w:iCs/>
                <w:sz w:val="24"/>
                <w:szCs w:val="24"/>
                <w:highlight w:val="none"/>
                <w:u w:val="none"/>
              </w:rPr>
            </w:r>
            <w:r>
              <w:rPr>
                <w:rFonts w:ascii="Tinos" w:hAnsi="Tinos" w:cs="Tinos"/>
                <w:b/>
                <w:bCs/>
                <w:i/>
                <w:iCs/>
                <w:sz w:val="24"/>
                <w:szCs w:val="24"/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СК на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Поиск работы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9037" w:type="dxa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before="0" w:beforeAutospacing="0" w:after="0" w:afterAutospacing="0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 xml:space="preserve">Поиск работы</w:t>
            </w:r>
            <w:r>
              <w:rPr>
                <w:b/>
                <w:bCs/>
                <w:color w:val="000000"/>
                <w:highlight w:val="none"/>
                <w:u w:val="none"/>
              </w:rPr>
            </w:r>
            <w:r>
              <w:rPr>
                <w:b/>
                <w:bCs/>
                <w:color w:val="000000"/>
                <w:highlight w:val="none"/>
                <w:u w:val="none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color w:val="000000"/>
                <w:highlight w:val="none"/>
                <w:u w:val="single"/>
              </w:rPr>
            </w:pPr>
            <w:r>
              <w:rPr>
                <w:color w:val="000000"/>
                <w:u w:val="single"/>
              </w:rPr>
              <w:t xml:space="preserve">Размер выплаты:</w:t>
            </w:r>
            <w:r>
              <w:rPr>
                <w:color w:val="000000"/>
                <w:highlight w:val="none"/>
                <w:u w:val="single"/>
              </w:rPr>
            </w:r>
            <w:r>
              <w:rPr>
                <w:color w:val="000000"/>
                <w:highlight w:val="none"/>
                <w:u w:val="single"/>
              </w:rPr>
            </w:r>
          </w:p>
          <w:p>
            <w:pPr>
              <w:pStyle w:val="864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18169 руб.единовременно при заключении СК</w:t>
            </w:r>
            <w:r>
              <w:rPr>
                <w:color w:val="000000"/>
              </w:rPr>
              <w:t xml:space="preserve">;</w:t>
            </w:r>
            <w:r/>
          </w:p>
          <w:p>
            <w:pPr>
              <w:pStyle w:val="864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18169 руб. ежемесячно</w:t>
            </w:r>
            <w:r>
              <w:rPr>
                <w:color w:val="000000"/>
              </w:rPr>
              <w:t xml:space="preserve">  (не более 3-х месяцев), при подтверждении факта</w:t>
            </w:r>
            <w:r>
              <w:rPr>
                <w:color w:val="000000"/>
              </w:rPr>
              <w:t xml:space="preserve"> трудоустройства;</w:t>
            </w:r>
            <w:r>
              <w:rPr>
                <w:color w:val="000000"/>
              </w:rPr>
              <w:t xml:space="preserve">  </w:t>
            </w:r>
            <w:r/>
          </w:p>
          <w:p>
            <w:pPr>
              <w:pStyle w:val="864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д</w:t>
            </w:r>
            <w:r>
              <w:rPr>
                <w:color w:val="000000"/>
              </w:rPr>
              <w:t xml:space="preserve">о 30 000 руб.  единовременно на обучение;</w:t>
            </w:r>
            <w:r/>
          </w:p>
          <w:p>
            <w:pPr>
              <w:pStyle w:val="864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</w:rPr>
              <w:t xml:space="preserve">9084,50 руб.на период обучения (</w:t>
            </w:r>
            <w:r>
              <w:rPr>
                <w:color w:val="000000"/>
                <w:sz w:val="20"/>
                <w:szCs w:val="20"/>
              </w:rPr>
              <w:t xml:space="preserve">не более 3 мес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-180" w:firstLine="180"/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Условия: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6"/>
              <w:contextualSpacing/>
              <w:ind w:left="0" w:firstLine="0"/>
              <w:jc w:val="both"/>
              <w:spacing w:after="0" w:line="240" w:lineRule="auto"/>
              <w:tabs>
                <w:tab w:val="num" w:pos="426" w:leader="none"/>
                <w:tab w:val="clear" w:pos="720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* Постановка на учет в органах занятости населения в кач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естве безработного или ищущего работу.</w:t>
            </w:r>
            <w:r/>
          </w:p>
          <w:p>
            <w:pPr>
              <w:pStyle w:val="856"/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* Регистрация в единой цифровой платформе  «Работа в Рос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сии»</w:t>
            </w:r>
            <w:r>
              <w:t xml:space="preserve">.</w:t>
            </w:r>
            <w:r/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* Осуществлять трудовую деятельность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период  действия СК и не менее чем в течение 12 мес. со дня окончания срока действия СК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 .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highlight w:val="none"/>
              </w:rPr>
              <w:t xml:space="preserve">*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Предоставлять документы (сведения), необходимые для контроля за выполнением обязательств по СК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3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СК на поиск работы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с одним и тем же гражданином   заключается не чаще одного раза в год со дня окончания срока действия предыдущего СК.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СК на ИП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9037" w:type="dxa"/>
            <w:vMerge w:val="restart"/>
            <w:textDirection w:val="lrTb"/>
            <w:noWrap w:val="false"/>
          </w:tcPr>
          <w:p>
            <w:pPr>
              <w:pStyle w:val="864"/>
              <w:ind w:left="0" w:firstLine="0"/>
              <w:jc w:val="center"/>
              <w:spacing w:before="0" w:beforeAutospacing="0" w:after="0" w:afterAutospacing="0"/>
              <w:rPr>
                <w:b/>
                <w:bCs/>
                <w:i/>
                <w:sz w:val="26"/>
                <w:szCs w:val="26"/>
                <w:highlight w:val="none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ИП-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осуществление индивидуальной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предпринимательской де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ятельности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  <w:highlight w:val="none"/>
              </w:rPr>
            </w:r>
            <w:r>
              <w:rPr>
                <w:b/>
                <w:bCs/>
                <w:i/>
                <w:sz w:val="26"/>
                <w:szCs w:val="26"/>
                <w:highlight w:val="none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 xml:space="preserve">Размер выплаты:</w:t>
            </w:r>
            <w:r/>
          </w:p>
          <w:p>
            <w:pPr>
              <w:pStyle w:val="864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более 350000 руб. единовременно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До 30 000 руб. единовременно на обучение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highlight w:val="none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СК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заключается не более чем на 12 месяцев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Условия: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*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качестве ИП или самозанятого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pStyle w:val="856"/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 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аличие бизнес-плана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/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* Прохождение тестирования для определения уровня предпринимательских компетенций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.</w:t>
            </w:r>
            <w:r/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* Приобрести основные средства и материальные запасы, необходимые для осуществления ИП 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.</w:t>
            </w:r>
            <w:r/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*  Осуществлять  ИП деятельность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период срока действия СК и не менее чем в течение 12 месяцев со дня окончания срока действия СК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 .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 *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  Предоставлять документы (сведения), необходимые для контроля за выполнением обязательств по СК</w:t>
            </w:r>
            <w:r>
              <w:rPr>
                <w:rFonts w:ascii="Tinos" w:hAnsi="Tinos" w:cs="Tinos"/>
                <w:sz w:val="24"/>
                <w:szCs w:val="24"/>
              </w:rPr>
              <w:t xml:space="preserve"> и мероприятий ПСА.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СК на ЛПХ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9037" w:type="dxa"/>
            <w:vMerge w:val="restart"/>
            <w:textDirection w:val="lrTb"/>
            <w:noWrap w:val="false"/>
          </w:tcPr>
          <w:p>
            <w:pPr>
              <w:pStyle w:val="864"/>
              <w:ind w:left="0" w:firstLine="0"/>
              <w:jc w:val="center"/>
              <w:spacing w:before="0" w:beforeAutospacing="0" w:after="0" w:afterAutospacing="0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ЛПХ - по ведению личного подсобного хозяйств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</w:t>
            </w:r>
            <w:r/>
          </w:p>
          <w:p>
            <w:pPr>
              <w:pStyle w:val="864"/>
              <w:jc w:val="center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 xml:space="preserve">Размер выплаты:</w:t>
            </w:r>
            <w:r/>
          </w:p>
          <w:p>
            <w:pPr>
              <w:pStyle w:val="864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Не более 200 000 руб. единовременно;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64"/>
              <w:ind w:left="0" w:firstLine="0"/>
              <w:jc w:val="center"/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СК заключается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более чем на 12 месяцев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highlight w:val="none"/>
              </w:rPr>
            </w:r>
          </w:p>
          <w:p>
            <w:pPr>
              <w:pStyle w:val="864"/>
              <w:ind w:left="0" w:firstLine="0"/>
              <w:jc w:val="center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Условия: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/>
              <w:ind w:left="0" w:firstLine="0"/>
              <w:jc w:val="both"/>
              <w:spacing w:after="0" w:line="240" w:lineRule="auto"/>
              <w:tabs>
                <w:tab w:val="num" w:pos="0" w:leader="none"/>
                <w:tab w:val="clear" w:pos="720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*   Регистрация в качестве самозанятого.</w:t>
            </w:r>
            <w:r/>
          </w:p>
          <w:p>
            <w:pPr>
              <w:pStyle w:val="856"/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* Наличие земельного участка либо право пользования земельным участком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оответствующ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его назначения, на котором планируется ведение личного подсобного хозяйства.</w:t>
            </w:r>
            <w:r/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*  Наличие сметы расходов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/>
          </w:p>
          <w:p>
            <w:pPr>
              <w:contextualSpacing/>
              <w:ind w:left="0" w:firstLine="0"/>
              <w:jc w:val="both"/>
              <w:spacing w:after="0" w:line="240" w:lineRule="auto"/>
              <w:tabs>
                <w:tab w:val="clear" w:pos="720" w:leader="none"/>
              </w:tabs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* 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Прохождение тестирования для определения уровня предпринимательских компетенций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/>
          </w:p>
          <w:p>
            <w:pPr>
              <w:pStyle w:val="863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Приобрести  товары, основные средства и сельскохозяйственную продукцию  необходимые для ведения ЛПХ.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63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*Осуществлять реализацию произведенной сельскохозяйственной продукции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63"/>
              <w:ind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* Вести ЛПХ  в период срока действия СК и не менее чем в течение 12 месяцев со дня окончания срока действия СК.</w:t>
            </w:r>
            <w:r/>
          </w:p>
          <w:p>
            <w:pPr>
              <w:pStyle w:val="863"/>
              <w:ind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Предоставлять документы (сведения), необходимые для контроля за выполнением обязательств по 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nos" w:hAnsi="Tinos" w:cs="Tinos"/>
                <w:sz w:val="24"/>
                <w:szCs w:val="24"/>
              </w:rPr>
              <w:t xml:space="preserve">и мероприятий 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b w:val="0"/>
                <w:bCs w:val="0"/>
                <w:i w:val="0"/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СК на ТЖС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9037" w:type="dxa"/>
            <w:vMerge w:val="restart"/>
            <w:textDirection w:val="lrTb"/>
            <w:noWrap w:val="false"/>
          </w:tcPr>
          <w:p>
            <w:pPr>
              <w:pStyle w:val="856"/>
              <w:contextualSpacing/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Мероприятия, направле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нные на преодоление гражданином </w:t>
            </w:r>
            <w:r>
              <w:rPr>
                <w:rFonts w:ascii="Times New Roman" w:hAnsi="Times New Roman" w:eastAsia="Times New Roman"/>
                <w:b/>
                <w:bCs/>
                <w:i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  <w:p>
            <w:pPr>
              <w:contextualSpacing/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трудной жизненной ситуации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ТЖС</w:t>
            </w:r>
            <w:r>
              <w:rPr>
                <w:rFonts w:ascii="Times New Roman" w:hAnsi="Times New Roman" w:eastAsia="Times New Roman"/>
                <w:b/>
                <w:bCs/>
                <w:i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highlight w:val="none"/>
                <w:u w:val="single"/>
              </w:rPr>
              <w:t xml:space="preserve">Максимальный размер выплаты  </w:t>
            </w:r>
            <w:r>
              <w:rPr>
                <w:color w:val="000000"/>
                <w:highlight w:val="none"/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18169 рублей * 6 месяцев</w:t>
            </w:r>
            <w:r>
              <w:rPr>
                <w:color w:val="000000"/>
                <w:highlight w:val="none"/>
              </w:rPr>
            </w:r>
          </w:p>
          <w:p>
            <w:pPr>
              <w:pStyle w:val="86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СК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заключается не более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чем на 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Перечень  типовых трудных жизненных ситуаций  утвержден вышеназванным приказом от 31.01.2006 № 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4"/>
              <w:jc w:val="center"/>
              <w:spacing w:before="0" w:beforeAutospacing="0" w:after="0" w:afterAutospacing="0"/>
              <w:rPr>
                <w:b/>
                <w:bCs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b/>
                <w:bCs/>
                <w:color w:val="000000"/>
                <w:u w:val="none"/>
              </w:rPr>
              <w:t xml:space="preserve">Условия:</w:t>
            </w:r>
            <w:r>
              <w:rPr>
                <w:b/>
                <w:bCs/>
                <w:u w:val="none"/>
              </w:rPr>
            </w:r>
            <w:r>
              <w:rPr>
                <w:b/>
                <w:bCs/>
                <w:u w:val="none"/>
              </w:rPr>
            </w:r>
          </w:p>
          <w:p>
            <w:pPr>
              <w:pStyle w:val="863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* Выполнять мероприятия, предусмотренные СК и ПСА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pStyle w:val="863"/>
              <w:jc w:val="both"/>
            </w:pP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* С целью удовлетворения потребностей приобрести необходимые товары в зависимости от трудной жизненной ситуации.</w:t>
            </w:r>
            <w:r/>
          </w:p>
          <w:p>
            <w:pPr>
              <w:pStyle w:val="863"/>
              <w:jc w:val="both"/>
              <w:rPr>
                <w:rFonts w:ascii="Tinos" w:hAnsi="Tinos" w:cs="Tinos"/>
                <w:sz w:val="24"/>
                <w:szCs w:val="24"/>
              </w:rPr>
            </w:pPr>
            <w:r/>
            <w:bookmarkStart w:id="0" w:name="undefined"/>
            <w:r/>
            <w:bookmarkEnd w:id="0"/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 *Предоставлять документы (сведения), необходимые для контроля за выполнением обязательств по СК</w:t>
            </w:r>
            <w:r>
              <w:rPr>
                <w:rFonts w:ascii="Tinos" w:hAnsi="Tinos" w:cs="Tinos"/>
                <w:sz w:val="24"/>
                <w:szCs w:val="24"/>
              </w:rPr>
              <w:t xml:space="preserve"> и мероприятий ПСА.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3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        СК на преодоление ТЖС 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  с одним и тем же гражданином (семьей) заключается не чаще одного раза в год со дня окончания срока действия предыдущего СК.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9037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9037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0 рабочих дней со дня регистрации заявления, срок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продлевается на 20 рабочих дней в случае непоступления документов  (сведений), запрашиваемых в рамках межведомственного взаимодействия, необходимостью проведения дополнительной проверки.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90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paragraph" w:styleId="86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4" w:customStyle="1">
    <w:name w:val="Обычный (веб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22</cp:revision>
  <dcterms:modified xsi:type="dcterms:W3CDTF">2025-02-10T12:40:52Z</dcterms:modified>
</cp:coreProperties>
</file>