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nos" w:hAnsi="Tinos" w:cs="Tinos"/>
          <w:b w:val="0"/>
          <w:bCs w:val="0"/>
          <w:sz w:val="26"/>
          <w:szCs w:val="26"/>
          <w:highlight w:val="none"/>
        </w:rPr>
      </w:pP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  <w:t xml:space="preserve">Eдиновременная денежная  выплата ЖЕНЩИНАМ, родившим ПЕРВОГО ребенка в возрасте  от  18 до 25 (включительно) лет</w:t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  <w:highlight w:val="none"/>
        </w:rPr>
      </w:r>
    </w:p>
    <w:tbl>
      <w:tblPr>
        <w:tblStyle w:val="708"/>
        <w:tblW w:w="0" w:type="auto"/>
        <w:tblInd w:w="-425" w:type="dxa"/>
        <w:tblLayout w:type="fixed"/>
        <w:tblLook w:val="04A0" w:firstRow="1" w:lastRow="0" w:firstColumn="1" w:lastColumn="0" w:noHBand="0" w:noVBand="1"/>
      </w:tblPr>
      <w:tblGrid>
        <w:gridCol w:w="1984"/>
        <w:gridCol w:w="8895"/>
      </w:tblGrid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Нормативные акты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/>
                <w:sz w:val="26"/>
                <w:szCs w:val="26"/>
              </w:rPr>
              <w:t xml:space="preserve">      </w:t>
            </w:r>
            <w:r>
              <w:rPr>
                <w:rFonts w:ascii="Tinos" w:hAnsi="Tinos" w:eastAsia="Tinos" w:cs="Tinos"/>
                <w:b w:val="0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 П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остановление Правительства Самарской области 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от 18.12.2023 г.    № 1060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 «Об установлении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/>
                <w:sz w:val="22"/>
                <w:szCs w:val="22"/>
              </w:rPr>
              <w:t xml:space="preserve">отдельных расходных обязательств Самарской области в сфере развития социальной защиты населения в Самарской области и утверждении порядков (положений) о предоставлении (назначении) отдельных видов социальных выплат»</w:t>
            </w:r>
            <w:r>
              <w:rPr>
                <w:rFonts w:ascii="Tinos" w:hAnsi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cs="Tinos"/>
                <w:b w:val="0"/>
                <w:bCs w:val="0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</w:rPr>
              <w:t xml:space="preserve">      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</w:rPr>
              <w:t xml:space="preserve"> Приказ министерства социально демографической и семейной политики Самарской области от 05.11.2024 № 821 «Об утверждении Порядка предоставления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единовременной денежной  выплаты  женщинам, родившим первого  ребенка в возрасте  от  18 до 25 (включительно) лет»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Размер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center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100 000 рублей при условии обращения за её назначением не позднее одного года со дня рождения первого ребенка.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Условия получения выплаты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both"/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Право на выплату имеют полностью дееспособные женщины, имеющие гражданство Российской Федерации и место жительства (пребывания) на территории Самарской области,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родившие первого ребенка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в возрасте       от  18 до 25 (включительно) лет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,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начиная с 01.09.2024.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229"/>
        </w:trPr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Способ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Лично, либо через социальный портал  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c  сайта министерства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https://minsocdem.samregion.ru/portal/statement/create</w:t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Необходимые документы (сведения)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4"/>
                <w:szCs w:val="24"/>
                <w:highlight w:val="none"/>
              </w:rPr>
              <w:t xml:space="preserve">Сведения со знаком «*» заявитель предоставляет самостоятельно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  в течение 5 рабочих дней после подачи заявления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ind w:left="0" w:firstLine="0"/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</w:rPr>
              <w:t xml:space="preserve">        *1.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Документ (сведения), удостоверяющие личность заявителя;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2.Сведения о рождении ребенка и наличии у него гражданства РФ;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rPr>
                <w:rFonts w:ascii="Tinos" w:hAnsi="Tinos" w:eastAsia="Tinos" w:cs="Tinos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sz w:val="22"/>
                <w:szCs w:val="22"/>
              </w:rPr>
              <w:t xml:space="preserve">         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b/>
                <w:bCs/>
                <w:sz w:val="26"/>
                <w:szCs w:val="26"/>
              </w:rPr>
              <w:t xml:space="preserve"> *</w:t>
            </w:r>
            <w:r>
              <w:rPr>
                <w:rFonts w:ascii="Tinos" w:hAnsi="Tinos" w:eastAsia="Tinos" w:cs="Tino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сведения о  рождении 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ребенка в случае регис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т</w:t>
            </w:r>
            <w:r>
              <w:rPr>
                <w:rFonts w:ascii="Tinos" w:hAnsi="Tinos" w:eastAsia="Tinos" w:cs="Tinos"/>
                <w:sz w:val="22"/>
                <w:szCs w:val="22"/>
              </w:rPr>
              <w:t xml:space="preserve">рации записи соответствующего акта компетентным органом иностранного государства и наличием у него гражданства Российской Федерации.  К документам, оформленным на иностранных языках, должны быть приложены их нотариально заверенные переводы на русский язык;</w:t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sz w:val="22"/>
                <w:szCs w:val="22"/>
                <w:highlight w:val="none"/>
              </w:rPr>
            </w:r>
          </w:p>
          <w:p>
            <w:pPr>
              <w:jc w:val="both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3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.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Сведения о регистрации по месту жительства  или пребывания  на территории Самарской области заявителя и ребенка;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 xml:space="preserve">       </w:t>
            </w:r>
            <w:r>
              <w:rPr>
                <w:rFonts w:ascii="Tinos" w:hAnsi="Tinos" w:cs="Tinos"/>
                <w:sz w:val="26"/>
                <w:szCs w:val="26"/>
              </w:rPr>
              <w:t xml:space="preserve">  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*</w:t>
            </w:r>
            <w:r>
              <w:rPr>
                <w:rFonts w:ascii="Tinos" w:hAnsi="Tinos" w:cs="Tinos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/>
                <w:sz w:val="22"/>
                <w:szCs w:val="22"/>
              </w:rPr>
              <w:t xml:space="preserve">в случае отсутствия регистрации по месту жительства или пребывания на территории Самарской области - иные документы, подтверждающие фактическое прожив</w:t>
            </w:r>
            <w:r>
              <w:rPr>
                <w:rFonts w:ascii="Tinos" w:hAnsi="Tinos" w:cs="Tinos"/>
                <w:sz w:val="22"/>
                <w:szCs w:val="22"/>
              </w:rPr>
              <w:t xml:space="preserve">ан</w:t>
            </w:r>
            <w:r>
              <w:rPr>
                <w:rFonts w:ascii="Tinos" w:hAnsi="Tinos" w:cs="Tinos"/>
                <w:sz w:val="22"/>
                <w:szCs w:val="22"/>
              </w:rPr>
              <w:t xml:space="preserve">ие заявителя и ребенка: решение суда об установлении факта проживания на территории Самарской области, договор найма жилого помещения, договор безвозмездного  пользования жилым помещением, заключенные в соответствии с нормами действующего законодательства;</w:t>
            </w:r>
            <w:r>
              <w:rPr>
                <w:rFonts w:ascii="Tinos" w:hAnsi="Tinos" w:cs="Tinos"/>
                <w:sz w:val="22"/>
                <w:szCs w:val="22"/>
              </w:rPr>
            </w:r>
            <w:r>
              <w:rPr>
                <w:rFonts w:ascii="Tinos" w:hAnsi="Tinos" w:cs="Tinos"/>
                <w:sz w:val="22"/>
                <w:szCs w:val="22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4. СНИЛС заявителя и ребенка;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5. Сведения об отсутствии факта лишения (огр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аничения, восстановления) родительских прав, об отмене ограничения родительских прав, отобрания ребенка при непосредственной угрозе его жизни или здоровью, об установлении над ребенком опеки (попечительства),передача ребенка на воспитание в приемную семью;</w:t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cs="Tinos"/>
                <w:sz w:val="26"/>
                <w:szCs w:val="26"/>
                <w:highlight w:val="none"/>
              </w:rPr>
            </w:r>
          </w:p>
          <w:p>
            <w:pPr>
              <w:ind w:left="0" w:firstLine="0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ff0000"/>
                <w:sz w:val="28"/>
                <w:szCs w:val="28"/>
                <w:highlight w:val="none"/>
                <w:u w:val="single"/>
              </w:rPr>
            </w:pPr>
            <w:r>
              <w:rPr>
                <w:rFonts w:ascii="Tinos" w:hAnsi="Tinos" w:cs="Tinos"/>
                <w:sz w:val="26"/>
                <w:szCs w:val="26"/>
                <w:highlight w:val="none"/>
              </w:rPr>
              <w:t xml:space="preserve">6. Сведения 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о не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на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хождении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ребенка</w:t>
            </w:r>
            <w:r>
              <w:rPr>
                <w:rFonts w:ascii="Tinos" w:hAnsi="Tinos" w:eastAsia="Tinos" w:cs="Tinos"/>
                <w:sz w:val="26"/>
                <w:szCs w:val="26"/>
                <w:u w:val="none"/>
              </w:rPr>
              <w:t xml:space="preserve"> на полном государственном обеспечении; </w:t>
            </w:r>
            <w:r>
              <w:rPr>
                <w:rFonts w:ascii="Tinos" w:hAnsi="Tinos" w:cs="Tinos"/>
                <w:color w:val="ff0000"/>
                <w:sz w:val="28"/>
                <w:szCs w:val="28"/>
                <w:highlight w:val="none"/>
                <w:u w:val="single"/>
              </w:rPr>
            </w:r>
            <w:r>
              <w:rPr>
                <w:rFonts w:ascii="Tinos" w:hAnsi="Tinos" w:cs="Tinos"/>
                <w:color w:val="ff0000"/>
                <w:sz w:val="28"/>
                <w:szCs w:val="28"/>
                <w:highlight w:val="none"/>
                <w:u w:val="single"/>
              </w:rPr>
            </w:r>
          </w:p>
          <w:p>
            <w:pPr>
              <w:ind w:firstLine="0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8"/>
                <w:szCs w:val="28"/>
                <w:highlight w:val="none"/>
                <w:u w:val="single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u w:val="none"/>
              </w:rPr>
              <w:t xml:space="preserve">7. С</w:t>
            </w: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u w:val="none"/>
              </w:rPr>
              <w:t xml:space="preserve">ведения о нахождении  ребенка в организации для детей-сирот и детей оставшихся без попечения родителей;</w:t>
            </w:r>
            <w:r>
              <w:rPr>
                <w:rFonts w:ascii="Tinos" w:hAnsi="Tinos" w:cs="Tinos"/>
                <w:color w:val="000000" w:themeColor="text1"/>
                <w:sz w:val="28"/>
                <w:szCs w:val="28"/>
                <w:highlight w:val="none"/>
                <w:u w:val="single"/>
              </w:rPr>
            </w:r>
            <w:r>
              <w:rPr>
                <w:rFonts w:ascii="Tinos" w:hAnsi="Tinos" w:cs="Tinos"/>
                <w:color w:val="000000" w:themeColor="text1"/>
                <w:sz w:val="28"/>
                <w:szCs w:val="28"/>
                <w:highlight w:val="none"/>
                <w:u w:val="single"/>
              </w:rPr>
            </w:r>
          </w:p>
          <w:p>
            <w:pPr>
              <w:ind w:firstLine="0"/>
              <w:jc w:val="both"/>
              <w:spacing w:after="0" w:line="240" w:lineRule="auto"/>
              <w:shd w:val="clear" w:color="auto" w:fill="ffffff"/>
              <w:rPr>
                <w:rFonts w:ascii="Tinos" w:hAnsi="Tinos" w:cs="Tinos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nos" w:hAnsi="Tinos" w:eastAsia="Tinos" w:cs="Tinos"/>
                <w:color w:val="000000" w:themeColor="text1"/>
                <w:sz w:val="26"/>
                <w:szCs w:val="26"/>
                <w:highlight w:val="none"/>
                <w:u w:val="none"/>
              </w:rPr>
              <w:t xml:space="preserve">8. Сведения о постановке ребенка на учет как ребенка, оставшегося без попечения родителей;</w:t>
            </w:r>
            <w:r>
              <w:rPr>
                <w:rFonts w:ascii="Tinos" w:hAnsi="Tinos" w:cs="Tinos"/>
                <w:color w:val="000000" w:themeColor="text1"/>
                <w:sz w:val="28"/>
                <w:szCs w:val="28"/>
                <w:u w:val="single"/>
              </w:rPr>
            </w:r>
            <w:r>
              <w:rPr>
                <w:rFonts w:ascii="Tinos" w:hAnsi="Tinos" w:cs="Tinos"/>
                <w:color w:val="000000" w:themeColor="text1"/>
                <w:sz w:val="28"/>
                <w:szCs w:val="28"/>
                <w:u w:val="singl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9. Сведения о неполучении заявителем аналогичной выплаты в другом субъекте Российской Федерации;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</w:r>
          </w:p>
          <w:p>
            <w:pPr>
              <w:pStyle w:val="858"/>
              <w:ind w:left="0" w:firstLine="0"/>
              <w:jc w:val="both"/>
              <w:rPr>
                <w:rFonts w:ascii="Tinos" w:hAnsi="Tinos" w:cs="Tinos"/>
                <w:sz w:val="26"/>
                <w:szCs w:val="26"/>
                <w:u w:val="none"/>
              </w:rPr>
            </w:pPr>
            <w:r>
              <w:rPr>
                <w:rFonts w:ascii="Tinos" w:hAnsi="Tinos" w:eastAsia="Tinos" w:cs="Tinos"/>
                <w:b/>
                <w:bCs/>
                <w:sz w:val="26"/>
                <w:szCs w:val="26"/>
                <w:highlight w:val="none"/>
                <w:u w:val="none"/>
              </w:rPr>
              <w:t xml:space="preserve">        *10.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 Реквизиты счета получателя выплаты, открытого в кредитной организации </w:t>
            </w:r>
            <w:r>
              <w:rPr>
                <w:rFonts w:ascii="Tinos" w:hAnsi="Tinos" w:eastAsia="Tinos" w:cs="Tinos"/>
                <w:sz w:val="24"/>
                <w:szCs w:val="24"/>
                <w:highlight w:val="none"/>
                <w:u w:val="none"/>
              </w:rPr>
              <w:t xml:space="preserve">(при условии выбора способа получения выплаты через кредитную организацию)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  <w:u w:val="none"/>
              </w:rPr>
              <w:t xml:space="preserve">.</w:t>
            </w:r>
            <w:r>
              <w:rPr>
                <w:rFonts w:ascii="Tinos" w:hAnsi="Tinos" w:cs="Tinos"/>
                <w:sz w:val="26"/>
                <w:szCs w:val="26"/>
                <w:u w:val="none"/>
              </w:rPr>
            </w:r>
            <w:r>
              <w:rPr>
                <w:rFonts w:ascii="Tinos" w:hAnsi="Tinos" w:cs="Tinos"/>
                <w:sz w:val="26"/>
                <w:szCs w:val="26"/>
                <w:u w:val="none"/>
              </w:rPr>
            </w:r>
          </w:p>
        </w:tc>
      </w:tr>
      <w:tr>
        <w:tblPrEx/>
        <w:trPr/>
        <w:tc>
          <w:tcPr>
            <w:tcW w:w="1984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  <w:t xml:space="preserve">Срок принятия решения</w:t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4"/>
                <w:szCs w:val="24"/>
                <w:highlight w:val="none"/>
              </w:rPr>
            </w:r>
          </w:p>
        </w:tc>
        <w:tc>
          <w:tcPr>
            <w:tcW w:w="8895" w:type="dxa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30 дней со дня регистрации заявления с документами, которые заявитель обязан предоставить самостоятельно.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/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  <w:t xml:space="preserve">Обращаться </w:t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2"/>
                <w:szCs w:val="22"/>
                <w:highlight w:val="none"/>
              </w:rPr>
            </w:r>
          </w:p>
        </w:tc>
        <w:tc>
          <w:tcPr>
            <w:tcW w:w="8895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Управление по м.р. Большеглушицкий ГКУ СО «ГУСЗН Южного округа» 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left"/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по адресу: 4460180, Самарская область, Большеглушицкий район,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  <w:t xml:space="preserve"> с. Большая Глушица, ул. Гагарина, д.27, каб. 7,15, тел. 8(846 73)  2-13-08, 2-13-07</w:t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</w:tbl>
    <w:p>
      <w:pPr>
        <w:jc w:val="left"/>
        <w:rPr>
          <w:rFonts w:ascii="Tinos" w:hAnsi="Tinos" w:cs="Tinos"/>
          <w:b w:val="0"/>
          <w:bCs w:val="0"/>
          <w:sz w:val="26"/>
          <w:szCs w:val="26"/>
        </w:rPr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sz w:val="26"/>
          <w:szCs w:val="26"/>
        </w:rPr>
      </w:r>
      <w:r>
        <w:rPr>
          <w:rFonts w:ascii="Tinos" w:hAnsi="Tinos" w:cs="Tinos"/>
          <w:b w:val="0"/>
          <w:bCs w:val="0"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425" w:right="850" w:bottom="283" w:left="992" w:header="709" w:footer="59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2"/>
    <w:next w:val="852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uiPriority w:val="1"/>
    <w:qFormat/>
    <w:pPr>
      <w:spacing w:after="0" w:line="240" w:lineRule="auto"/>
    </w:pPr>
  </w:style>
  <w:style w:type="paragraph" w:styleId="856">
    <w:name w:val="List Paragraph"/>
    <w:basedOn w:val="852"/>
    <w:uiPriority w:val="34"/>
    <w:qFormat/>
    <w:pPr>
      <w:contextualSpacing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2025-02-10T10:11:48Z</dcterms:modified>
</cp:coreProperties>
</file>