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Правительства РФ от 14 декабря 2005 г. № 761</w:t>
      </w:r>
      <w:r>
        <w:rPr>
          <w:rFonts w:ascii="Times New Roman" w:hAnsi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/>
          <w:b/>
          <w:bCs/>
          <w:sz w:val="32"/>
          <w:szCs w:val="32"/>
          <w:highlight w:val="none"/>
        </w:rPr>
      </w:r>
      <w:r>
        <w:rPr>
          <w:rFonts w:ascii="Times New Roman" w:hAnsi="Times New Roman"/>
          <w:b/>
          <w:bCs/>
          <w:sz w:val="32"/>
          <w:szCs w:val="32"/>
          <w:highlight w:val="none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«О предоставлении субсидий  на оплату жилого помещения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и 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коммунальных услуг»</w:t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832"/>
        <w:jc w:val="center"/>
        <w:spacing w:after="0" w:line="240" w:lineRule="auto"/>
        <w:rPr>
          <w:rFonts w:ascii="Tinos" w:hAnsi="Tinos" w:cs="Tinos"/>
          <w:b/>
          <w:sz w:val="32"/>
          <w:szCs w:val="32"/>
        </w:rPr>
      </w:pPr>
      <w:r>
        <w:rPr>
          <w:rFonts w:ascii="Tinos" w:hAnsi="Tinos" w:eastAsia="Tinos" w:cs="Tinos"/>
          <w:b/>
          <w:sz w:val="32"/>
          <w:szCs w:val="32"/>
        </w:rPr>
        <w:t xml:space="preserve">Право на субсидию на оплату жилого помещения и коммунальных услуг имеют:</w:t>
      </w:r>
      <w:r>
        <w:rPr>
          <w:rFonts w:ascii="Tinos" w:hAnsi="Tinos" w:cs="Tinos"/>
          <w:b/>
          <w:sz w:val="32"/>
          <w:szCs w:val="32"/>
        </w:rPr>
      </w:r>
      <w:r>
        <w:rPr>
          <w:rFonts w:ascii="Tinos" w:hAnsi="Tinos" w:cs="Tinos"/>
          <w:b/>
          <w:sz w:val="32"/>
          <w:szCs w:val="32"/>
        </w:rPr>
      </w:r>
    </w:p>
    <w:p>
      <w:pPr>
        <w:pStyle w:val="832"/>
        <w:jc w:val="both"/>
        <w:spacing w:after="0" w:line="240" w:lineRule="auto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sz w:val="32"/>
          <w:szCs w:val="32"/>
        </w:rPr>
        <w:t xml:space="preserve">       а) пользователи жилого помещения в государственном или муниципальном жилищном фонде;</w:t>
      </w:r>
      <w:r>
        <w:rPr>
          <w:rFonts w:ascii="Tinos" w:hAnsi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</w:p>
    <w:p>
      <w:pPr>
        <w:pStyle w:val="832"/>
        <w:jc w:val="both"/>
        <w:spacing w:after="0" w:line="240" w:lineRule="auto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sz w:val="32"/>
          <w:szCs w:val="32"/>
        </w:rPr>
        <w:t xml:space="preserve">       б) наниматели жилого помещения по договору найма в частном жилищном фонде;</w:t>
      </w:r>
      <w:r>
        <w:rPr>
          <w:rFonts w:ascii="Tinos" w:hAnsi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</w:p>
    <w:p>
      <w:pPr>
        <w:pStyle w:val="832"/>
        <w:jc w:val="both"/>
        <w:spacing w:after="0" w:line="240" w:lineRule="auto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sz w:val="32"/>
          <w:szCs w:val="32"/>
        </w:rPr>
        <w:t xml:space="preserve">       в) члены жилищно-строительного кооператива; </w:t>
      </w:r>
      <w:r>
        <w:rPr>
          <w:rFonts w:ascii="Tinos" w:hAnsi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</w:p>
    <w:p>
      <w:pPr>
        <w:pStyle w:val="832"/>
        <w:jc w:val="both"/>
        <w:spacing w:after="0" w:line="240" w:lineRule="auto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sz w:val="32"/>
          <w:szCs w:val="32"/>
        </w:rPr>
        <w:t xml:space="preserve">       г) собственники жилого помещения (квартиры, жилого дома, части квартиры или части жилого дома).</w:t>
      </w:r>
      <w:r>
        <w:rPr>
          <w:rFonts w:ascii="Tinos" w:hAnsi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</w:p>
    <w:p>
      <w:pPr>
        <w:pStyle w:val="832"/>
        <w:jc w:val="both"/>
        <w:spacing w:after="0" w:line="240" w:lineRule="auto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sz w:val="32"/>
          <w:szCs w:val="32"/>
        </w:rPr>
        <w:t xml:space="preserve">     </w:t>
      </w:r>
      <w:r>
        <w:rPr>
          <w:rFonts w:ascii="Tinos" w:hAnsi="Tinos" w:eastAsia="Tinos" w:cs="Tinos"/>
          <w:sz w:val="32"/>
          <w:szCs w:val="32"/>
        </w:rPr>
        <w:t xml:space="preserve">Субсидия </w:t>
      </w:r>
      <w:r>
        <w:rPr>
          <w:rFonts w:ascii="Tinos" w:hAnsi="Tinos" w:eastAsia="Tinos" w:cs="Tinos"/>
          <w:sz w:val="32"/>
          <w:szCs w:val="32"/>
        </w:rPr>
        <w:t xml:space="preserve"> </w:t>
      </w:r>
      <w:r>
        <w:rPr>
          <w:rFonts w:ascii="Tinos" w:hAnsi="Tinos" w:eastAsia="Tinos" w:cs="Tinos"/>
          <w:sz w:val="32"/>
          <w:szCs w:val="32"/>
        </w:rPr>
        <w:t xml:space="preserve">  предоставляется </w:t>
      </w:r>
      <w:r>
        <w:rPr>
          <w:rFonts w:ascii="Tinos" w:hAnsi="Tinos" w:eastAsia="Tinos" w:cs="Tinos"/>
          <w:sz w:val="32"/>
          <w:szCs w:val="32"/>
        </w:rPr>
        <w:t xml:space="preserve"> </w:t>
      </w:r>
      <w:r>
        <w:rPr>
          <w:rFonts w:ascii="Tinos" w:hAnsi="Tinos" w:eastAsia="Tinos" w:cs="Tinos"/>
          <w:sz w:val="32"/>
          <w:szCs w:val="32"/>
        </w:rPr>
        <w:t xml:space="preserve"> граждан</w:t>
      </w:r>
      <w:r>
        <w:rPr>
          <w:rFonts w:ascii="Tinos" w:hAnsi="Tinos" w:eastAsia="Tinos" w:cs="Tinos"/>
          <w:sz w:val="32"/>
          <w:szCs w:val="32"/>
        </w:rPr>
        <w:t xml:space="preserve">ам </w:t>
      </w:r>
      <w:r>
        <w:rPr>
          <w:rFonts w:ascii="Tinos" w:hAnsi="Tinos" w:eastAsia="Tinos" w:cs="Tinos"/>
          <w:sz w:val="32"/>
          <w:szCs w:val="32"/>
        </w:rPr>
        <w:t xml:space="preserve"> с учетом постоянно проживающих с ними членов их семей</w:t>
      </w:r>
      <w:r>
        <w:rPr>
          <w:rFonts w:ascii="Tinos" w:hAnsi="Tinos" w:eastAsia="Tinos" w:cs="Tinos"/>
          <w:sz w:val="32"/>
          <w:szCs w:val="32"/>
        </w:rPr>
        <w:t xml:space="preserve">.</w:t>
      </w:r>
      <w:r>
        <w:rPr>
          <w:rFonts w:ascii="Tinos" w:hAnsi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</w:p>
    <w:p>
      <w:pPr>
        <w:pStyle w:val="832"/>
        <w:jc w:val="both"/>
        <w:spacing w:after="0" w:line="240" w:lineRule="auto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</w:p>
    <w:p>
      <w:pPr>
        <w:pStyle w:val="832"/>
        <w:ind w:firstLine="547"/>
        <w:jc w:val="both"/>
        <w:spacing w:after="0" w:line="240" w:lineRule="auto"/>
        <w:rPr>
          <w:rFonts w:ascii="Tinos" w:hAnsi="Tinos" w:eastAsia="Tinos" w:cs="Tinos"/>
          <w:sz w:val="32"/>
          <w:szCs w:val="32"/>
        </w:rPr>
      </w:pPr>
      <w:r>
        <w:rPr>
          <w:rFonts w:ascii="Tinos" w:hAnsi="Tinos" w:eastAsia="Tinos" w:cs="Tinos"/>
          <w:b/>
          <w:sz w:val="32"/>
          <w:szCs w:val="32"/>
        </w:rPr>
        <w:t xml:space="preserve">   </w:t>
      </w:r>
      <w:r>
        <w:rPr>
          <w:rFonts w:ascii="Tinos" w:hAnsi="Tinos" w:eastAsia="Tinos" w:cs="Tinos"/>
          <w:b/>
          <w:sz w:val="32"/>
          <w:szCs w:val="32"/>
        </w:rPr>
        <w:t xml:space="preserve">Субсидии назначаются гражданам в случае, если их расходы на оплату жилого помещения и коммунальных услуг, </w:t>
      </w:r>
      <w:r>
        <w:rPr>
          <w:rFonts w:ascii="Tinos" w:hAnsi="Tinos" w:eastAsia="Tinos" w:cs="Tinos"/>
          <w:sz w:val="32"/>
          <w:szCs w:val="32"/>
        </w:rPr>
        <w:t xml:space="preserve">рассчитанные исходя из </w:t>
      </w:r>
      <w:r>
        <w:rPr>
          <w:rFonts w:ascii="Tinos" w:hAnsi="Tinos" w:eastAsia="Tinos" w:cs="Tinos"/>
          <w:sz w:val="32"/>
          <w:szCs w:val="32"/>
        </w:rPr>
        <w:t xml:space="preserve"> </w:t>
      </w:r>
      <w:r>
        <w:rPr>
          <w:rFonts w:ascii="Tinos" w:hAnsi="Tinos" w:eastAsia="Tinos" w:cs="Tinos"/>
          <w:sz w:val="32"/>
          <w:szCs w:val="32"/>
        </w:rPr>
        <w:t xml:space="preserve"> региональных стандартов нормативной площади жилого помещения и </w:t>
      </w:r>
      <w:r>
        <w:rPr>
          <w:rFonts w:ascii="Tinos" w:hAnsi="Tinos" w:eastAsia="Tinos" w:cs="Tinos"/>
          <w:sz w:val="32"/>
          <w:szCs w:val="32"/>
        </w:rPr>
        <w:t xml:space="preserve">регионального стандарта </w:t>
      </w:r>
      <w:r>
        <w:rPr>
          <w:rFonts w:ascii="Tinos" w:hAnsi="Tinos" w:eastAsia="Tinos" w:cs="Tinos"/>
          <w:sz w:val="32"/>
          <w:szCs w:val="32"/>
        </w:rPr>
        <w:t xml:space="preserve">стоимости ЖКУ,</w:t>
      </w:r>
      <w:r>
        <w:rPr>
          <w:rFonts w:ascii="Tinos" w:hAnsi="Tinos" w:eastAsia="Tinos" w:cs="Tinos"/>
          <w:b/>
          <w:sz w:val="32"/>
          <w:szCs w:val="32"/>
        </w:rPr>
        <w:t xml:space="preserve"> превышают величину </w:t>
      </w:r>
      <w:r>
        <w:rPr>
          <w:rFonts w:ascii="Tinos" w:hAnsi="Tinos" w:eastAsia="Tinos" w:cs="Tinos"/>
          <w:b/>
          <w:sz w:val="32"/>
          <w:szCs w:val="32"/>
        </w:rPr>
        <w:t xml:space="preserve">регионального стандарта </w:t>
      </w:r>
      <w:r>
        <w:rPr>
          <w:rFonts w:ascii="Tinos" w:hAnsi="Tinos" w:eastAsia="Tinos" w:cs="Tinos"/>
          <w:b/>
          <w:sz w:val="32"/>
          <w:szCs w:val="32"/>
        </w:rPr>
        <w:t xml:space="preserve">максимально допустимой доли расходов граждан на оплату ЖКУ в совокупном доходе семьи.</w:t>
      </w:r>
      <w:r>
        <w:rPr>
          <w:rFonts w:ascii="Tinos" w:hAnsi="Tinos" w:eastAsia="Tinos" w:cs="Tinos"/>
          <w:sz w:val="32"/>
          <w:szCs w:val="32"/>
        </w:rPr>
        <w:t xml:space="preserve"> </w:t>
      </w:r>
      <w:r>
        <w:rPr>
          <w:rFonts w:ascii="Tinos" w:hAnsi="Tinos" w:cs="Tinos"/>
          <w:color w:val="000000"/>
          <w:sz w:val="32"/>
          <w:szCs w:val="32"/>
        </w:rPr>
      </w:r>
    </w:p>
    <w:p>
      <w:pPr>
        <w:ind w:firstLine="547"/>
        <w:jc w:val="both"/>
        <w:spacing w:after="0" w:line="240" w:lineRule="auto"/>
        <w:rPr>
          <w:rFonts w:ascii="Tinos" w:hAnsi="Tinos" w:cs="Tinos"/>
          <w:color w:val="000000"/>
          <w:sz w:val="32"/>
          <w:szCs w:val="32"/>
        </w:rPr>
      </w:pPr>
      <w:r>
        <w:rPr>
          <w:rFonts w:ascii="Tinos" w:hAnsi="Tinos" w:eastAsia="Tinos" w:cs="Tinos"/>
          <w:b/>
          <w:bCs/>
          <w:sz w:val="32"/>
          <w:szCs w:val="32"/>
        </w:rPr>
        <w:t xml:space="preserve">Совокупный доход</w:t>
      </w:r>
      <w:r>
        <w:rPr>
          <w:rFonts w:ascii="Tinos" w:hAnsi="Tinos" w:eastAsia="Tinos" w:cs="Tinos"/>
          <w:sz w:val="32"/>
          <w:szCs w:val="32"/>
        </w:rPr>
        <w:t xml:space="preserve"> семьи или одиноко проживающего гражданина определяется </w:t>
      </w:r>
      <w:r>
        <w:rPr>
          <w:rFonts w:ascii="Tinos" w:hAnsi="Tinos" w:eastAsia="Tinos" w:cs="Tinos"/>
          <w:b/>
          <w:color w:val="000000"/>
          <w:sz w:val="32"/>
          <w:szCs w:val="32"/>
        </w:rPr>
        <w:t xml:space="preserve"> </w:t>
      </w:r>
      <w:r>
        <w:rPr>
          <w:rFonts w:ascii="Tinos" w:hAnsi="Tinos" w:eastAsia="Tinos" w:cs="Tinos"/>
          <w:b/>
          <w:bCs/>
          <w:color w:val="000000"/>
          <w:sz w:val="32"/>
          <w:szCs w:val="32"/>
        </w:rPr>
        <w:t xml:space="preserve">за  6 календарных месяцев, предшествовавших месяцу перед месяцем подачи</w:t>
      </w:r>
      <w:r>
        <w:rPr>
          <w:rFonts w:ascii="Tinos" w:hAnsi="Tinos" w:eastAsia="Tinos" w:cs="Tinos"/>
          <w:b/>
          <w:bCs/>
          <w:color w:val="000000"/>
          <w:sz w:val="32"/>
          <w:szCs w:val="32"/>
        </w:rPr>
        <w:t xml:space="preserve"> заявления </w:t>
      </w:r>
      <w:r>
        <w:rPr>
          <w:rFonts w:ascii="Tinos" w:hAnsi="Tinos" w:eastAsia="Tinos" w:cs="Tinos"/>
          <w:color w:val="000000"/>
          <w:sz w:val="32"/>
          <w:szCs w:val="32"/>
        </w:rPr>
        <w:t xml:space="preserve">о предоставлении субсидии. </w:t>
      </w:r>
      <w:r>
        <w:rPr>
          <w:rFonts w:ascii="Tinos" w:hAnsi="Tinos" w:cs="Tinos"/>
          <w:color w:val="000000"/>
          <w:sz w:val="32"/>
          <w:szCs w:val="32"/>
        </w:rPr>
      </w:r>
      <w:r/>
    </w:p>
    <w:p>
      <w:pPr>
        <w:pStyle w:val="832"/>
        <w:ind w:firstLine="547"/>
        <w:jc w:val="both"/>
        <w:spacing w:after="0" w:line="240" w:lineRule="auto"/>
        <w:rPr>
          <w:rFonts w:ascii="Tinos" w:hAnsi="Tinos" w:cs="Tinos"/>
          <w:color w:val="000000"/>
          <w:sz w:val="32"/>
          <w:szCs w:val="32"/>
        </w:rPr>
      </w:pPr>
      <w:r>
        <w:rPr>
          <w:rFonts w:ascii="Tinos" w:hAnsi="Tinos" w:eastAsia="Tinos" w:cs="Tinos"/>
          <w:color w:val="000000"/>
          <w:sz w:val="32"/>
          <w:szCs w:val="32"/>
        </w:rPr>
        <w:t xml:space="preserve">Субсидия не предос</w:t>
      </w:r>
      <w:r>
        <w:rPr>
          <w:rFonts w:ascii="Tinos" w:hAnsi="Tinos" w:eastAsia="Tinos" w:cs="Tinos"/>
          <w:color w:val="000000"/>
          <w:sz w:val="32"/>
          <w:szCs w:val="32"/>
        </w:rPr>
        <w:t xml:space="preserve">тавляется гражданам при наличии у них подтвержденной вступившим в законную силу судебным актом непогашенной задолженности по оплате ЖКУ образовавшейся за период не более чем три последних года. Данные сведения Управление получает самостоятельно из ГИС ЖКХ.</w:t>
      </w:r>
      <w:r>
        <w:rPr>
          <w:rFonts w:ascii="Tinos" w:hAnsi="Tinos" w:cs="Tinos"/>
          <w:color w:val="000000"/>
          <w:sz w:val="32"/>
          <w:szCs w:val="32"/>
        </w:rPr>
      </w:r>
      <w:r>
        <w:rPr>
          <w:rFonts w:ascii="Tinos" w:hAnsi="Tinos" w:cs="Tinos"/>
          <w:color w:val="000000"/>
          <w:sz w:val="32"/>
          <w:szCs w:val="32"/>
        </w:rPr>
      </w:r>
    </w:p>
    <w:p>
      <w:pPr>
        <w:pStyle w:val="832"/>
        <w:jc w:val="both"/>
        <w:spacing w:after="0" w:line="240" w:lineRule="auto"/>
        <w:rPr>
          <w:rFonts w:ascii="Tinos" w:hAnsi="Tinos" w:cs="Tinos"/>
          <w:sz w:val="32"/>
          <w:szCs w:val="32"/>
          <w:highlight w:val="none"/>
        </w:rPr>
      </w:pPr>
      <w:r>
        <w:rPr>
          <w:rFonts w:ascii="Tinos" w:hAnsi="Tinos" w:eastAsia="Tinos" w:cs="Tinos"/>
          <w:b/>
          <w:color w:val="0000ff"/>
          <w:sz w:val="32"/>
          <w:szCs w:val="32"/>
        </w:rPr>
        <w:t xml:space="preserve">      </w:t>
      </w:r>
      <w:r>
        <w:rPr>
          <w:rFonts w:ascii="Tinos" w:hAnsi="Tinos" w:eastAsia="Tinos" w:cs="Tinos"/>
          <w:b/>
          <w:color w:val="0000ff"/>
          <w:sz w:val="32"/>
          <w:szCs w:val="32"/>
        </w:rPr>
        <w:t xml:space="preserve"> </w:t>
      </w:r>
      <w:r>
        <w:rPr>
          <w:rFonts w:ascii="Tinos" w:hAnsi="Tinos" w:eastAsia="Tinos" w:cs="Tinos"/>
          <w:sz w:val="32"/>
          <w:szCs w:val="32"/>
        </w:rPr>
        <w:t xml:space="preserve">Назначение субсидий </w:t>
      </w:r>
      <w:r>
        <w:rPr>
          <w:rFonts w:ascii="Tinos" w:hAnsi="Tinos" w:eastAsia="Tinos" w:cs="Tinos"/>
          <w:sz w:val="32"/>
          <w:szCs w:val="32"/>
        </w:rPr>
        <w:t xml:space="preserve"> </w:t>
      </w:r>
      <w:r>
        <w:rPr>
          <w:rFonts w:ascii="Tinos" w:hAnsi="Tinos" w:eastAsia="Tinos" w:cs="Tinos"/>
          <w:sz w:val="32"/>
          <w:szCs w:val="32"/>
        </w:rPr>
        <w:t xml:space="preserve"> производится с учетом имеющей</w:t>
      </w:r>
      <w:r>
        <w:rPr>
          <w:rFonts w:ascii="Tinos" w:hAnsi="Tinos" w:eastAsia="Tinos" w:cs="Tinos"/>
          <w:sz w:val="32"/>
          <w:szCs w:val="32"/>
        </w:rPr>
        <w:t xml:space="preserve">ся </w:t>
      </w:r>
      <w:r>
        <w:rPr>
          <w:rFonts w:ascii="Tinos" w:hAnsi="Tinos" w:eastAsia="Tinos" w:cs="Tinos"/>
          <w:sz w:val="32"/>
          <w:szCs w:val="32"/>
        </w:rPr>
        <w:t xml:space="preserve">компенсации </w:t>
      </w:r>
      <w:r>
        <w:rPr>
          <w:rFonts w:ascii="Tinos" w:hAnsi="Tinos" w:eastAsia="Tinos" w:cs="Tinos"/>
          <w:sz w:val="32"/>
          <w:szCs w:val="32"/>
        </w:rPr>
        <w:t xml:space="preserve">расходов</w:t>
      </w:r>
      <w:r>
        <w:rPr>
          <w:rFonts w:ascii="Tinos" w:hAnsi="Tinos" w:eastAsia="Tinos" w:cs="Tinos"/>
          <w:sz w:val="32"/>
          <w:szCs w:val="32"/>
        </w:rPr>
        <w:t xml:space="preserve">  по оплате жилого помещения и коммунальных услуг</w:t>
      </w:r>
      <w:r>
        <w:rPr>
          <w:rFonts w:ascii="Tinos" w:hAnsi="Tinos" w:eastAsia="Tinos" w:cs="Tinos"/>
          <w:sz w:val="32"/>
          <w:szCs w:val="32"/>
        </w:rPr>
        <w:t xml:space="preserve">.</w:t>
      </w:r>
      <w:r>
        <w:rPr>
          <w:rFonts w:ascii="Tinos" w:hAnsi="Tinos" w:cs="Tinos"/>
          <w:sz w:val="32"/>
          <w:szCs w:val="32"/>
          <w:highlight w:val="none"/>
        </w:rPr>
      </w:r>
      <w:r>
        <w:rPr>
          <w:rFonts w:ascii="Tinos" w:hAnsi="Tinos" w:cs="Tinos"/>
          <w:sz w:val="32"/>
          <w:szCs w:val="32"/>
          <w:highlight w:val="none"/>
        </w:rPr>
      </w:r>
    </w:p>
    <w:p>
      <w:pPr>
        <w:jc w:val="both"/>
        <w:spacing w:after="0" w:line="240" w:lineRule="auto"/>
        <w:rPr>
          <w:rFonts w:ascii="Tinos" w:hAnsi="Tinos" w:cs="Tinos"/>
          <w:color w:val="000000" w:themeColor="text1"/>
          <w:sz w:val="32"/>
          <w:szCs w:val="32"/>
          <w:u w:val="none"/>
        </w:rPr>
      </w:pPr>
      <w:r>
        <w:rPr>
          <w:rFonts w:ascii="Tinos" w:hAnsi="Tinos" w:eastAsia="Tinos" w:cs="Tinos"/>
          <w:color w:val="000000"/>
          <w:sz w:val="32"/>
          <w:szCs w:val="32"/>
        </w:rPr>
        <w:t xml:space="preserve">     </w:t>
      </w:r>
      <w:r>
        <w:rPr>
          <w:rFonts w:ascii="Tinos" w:hAnsi="Tinos" w:eastAsia="Tinos" w:cs="Tinos"/>
          <w:color w:val="000000"/>
          <w:sz w:val="32"/>
          <w:szCs w:val="32"/>
        </w:rPr>
        <w:t xml:space="preserve">  </w:t>
      </w:r>
      <w:r>
        <w:rPr>
          <w:rFonts w:ascii="Tinos" w:hAnsi="Tinos" w:eastAsia="Tinos" w:cs="Tinos"/>
          <w:color w:val="000000"/>
          <w:sz w:val="32"/>
          <w:szCs w:val="32"/>
        </w:rPr>
        <w:t xml:space="preserve">Документы (сведения), необходимые для предоставления субсидии, в соответствии с </w:t>
      </w:r>
      <w:r>
        <w:rPr>
          <w:rFonts w:ascii="Tinos" w:hAnsi="Tinos" w:eastAsia="Tinos" w:cs="Tinos"/>
          <w:b/>
          <w:bCs/>
          <w:color w:val="000000"/>
          <w:sz w:val="32"/>
          <w:szCs w:val="32"/>
        </w:rPr>
        <w:t xml:space="preserve">Перечнем (</w:t>
      </w:r>
      <w:r>
        <w:rPr>
          <w:rFonts w:ascii="Tinos" w:hAnsi="Tinos" w:eastAsia="Tinos" w:cs="Tinos"/>
          <w:color w:val="000000"/>
          <w:sz w:val="32"/>
          <w:szCs w:val="32"/>
        </w:rPr>
      </w:r>
      <w:r>
        <w:rPr>
          <w:rFonts w:ascii="Tinos" w:hAnsi="Tinos" w:eastAsia="Tinos" w:cs="Tinos"/>
          <w:b w:val="0"/>
          <w:bCs w:val="0"/>
          <w:spacing w:val="2"/>
          <w:sz w:val="28"/>
          <w:szCs w:val="28"/>
        </w:rPr>
        <w:t xml:space="preserve">по постановлению № 761)</w:t>
      </w:r>
      <w:r/>
      <w:r>
        <w:rPr>
          <w:rFonts w:ascii="Tinos" w:hAnsi="Tinos" w:eastAsia="Tinos" w:cs="Tinos"/>
          <w:color w:val="000000"/>
          <w:sz w:val="32"/>
          <w:szCs w:val="32"/>
        </w:rPr>
        <w:t xml:space="preserve"> документов (сведений), необходимых для предоставления субсидии на оплату жилого помещения и коммунальных услуг </w:t>
      </w:r>
      <w:r>
        <w:rPr>
          <w:rFonts w:ascii="Tinos" w:hAnsi="Tinos" w:eastAsia="Tinos" w:cs="Tinos"/>
          <w:color w:val="000000"/>
          <w:sz w:val="32"/>
          <w:szCs w:val="32"/>
        </w:rPr>
        <w:t xml:space="preserve"> запрашиваются Управлением, в том числе посредством межведомственного информационного взаимодействия</w:t>
      </w:r>
      <w:r>
        <w:rPr>
          <w:rFonts w:ascii="Tinos" w:hAnsi="Tinos" w:eastAsia="Tinos" w:cs="Tinos"/>
          <w:color w:val="000000"/>
          <w:sz w:val="32"/>
          <w:szCs w:val="32"/>
        </w:rPr>
        <w:t xml:space="preserve">. </w:t>
      </w:r>
      <w:r>
        <w:rPr>
          <w:rFonts w:ascii="Tinos" w:hAnsi="Tinos" w:eastAsia="Tinos" w:cs="Tinos"/>
          <w:color w:val="000000" w:themeColor="text1"/>
          <w:sz w:val="32"/>
          <w:szCs w:val="32"/>
          <w:u w:val="none"/>
        </w:rPr>
        <w:t xml:space="preserve">Заявитель вправе представить </w:t>
      </w:r>
      <w:r>
        <w:rPr>
          <w:rFonts w:ascii="Tinos" w:hAnsi="Tinos" w:eastAsia="Tinos" w:cs="Tinos"/>
          <w:color w:val="000000" w:themeColor="text1"/>
          <w:sz w:val="32"/>
          <w:szCs w:val="32"/>
          <w:u w:val="none"/>
        </w:rPr>
        <w:t xml:space="preserve">документы,   в соответствии с П</w:t>
      </w:r>
      <w:hyperlink r:id="rId8" w:tooltip="https://docs.cntd.ru/document/901960158#8Q40M6" w:history="1">
        <w:r>
          <w:rPr>
            <w:rStyle w:val="841"/>
            <w:rFonts w:ascii="Tinos" w:hAnsi="Tinos" w:eastAsia="Tinos" w:cs="Tinos"/>
            <w:color w:val="000000" w:themeColor="text1"/>
            <w:sz w:val="32"/>
            <w:szCs w:val="32"/>
            <w:u w:val="none"/>
          </w:rPr>
          <w:t xml:space="preserve">еречнем</w:t>
        </w:r>
      </w:hyperlink>
      <w:r>
        <w:rPr>
          <w:rFonts w:ascii="Tinos" w:hAnsi="Tinos" w:eastAsia="Tinos" w:cs="Tinos"/>
          <w:color w:val="000000" w:themeColor="text1"/>
          <w:sz w:val="32"/>
          <w:szCs w:val="32"/>
          <w:u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32"/>
          <w:szCs w:val="32"/>
          <w:u w:val="none"/>
        </w:rPr>
        <w:t xml:space="preserve">по собственной инициативе</w:t>
      </w:r>
      <w:r>
        <w:rPr>
          <w:rFonts w:ascii="Tinos" w:hAnsi="Tinos" w:eastAsia="Tinos" w:cs="Tinos"/>
          <w:color w:val="000000" w:themeColor="text1"/>
          <w:sz w:val="32"/>
          <w:szCs w:val="32"/>
          <w:u w:val="none"/>
        </w:rPr>
        <w:t xml:space="preserve">.</w:t>
      </w:r>
      <w:r>
        <w:rPr>
          <w:rFonts w:ascii="Tinos" w:hAnsi="Tinos" w:cs="Tinos"/>
          <w:color w:val="000000" w:themeColor="text1"/>
          <w:sz w:val="32"/>
          <w:szCs w:val="32"/>
          <w:u w:val="none"/>
        </w:rPr>
      </w:r>
      <w:r>
        <w:rPr>
          <w:rFonts w:ascii="Tinos" w:hAnsi="Tinos" w:cs="Tinos"/>
          <w:color w:val="000000" w:themeColor="text1"/>
          <w:sz w:val="32"/>
          <w:szCs w:val="32"/>
          <w:u w:val="none"/>
        </w:rPr>
      </w:r>
    </w:p>
    <w:p>
      <w:pPr>
        <w:pStyle w:val="833"/>
        <w:jc w:val="center"/>
        <w:spacing w:before="0" w:beforeAutospacing="0" w:after="0" w:afterAutospacing="0"/>
        <w:shd w:val="clear" w:color="auto" w:fill="ffffff"/>
        <w:rPr>
          <w:rFonts w:ascii="Tinos" w:hAnsi="Tinos" w:cs="Tinos"/>
          <w:spacing w:val="2"/>
          <w:sz w:val="32"/>
          <w:szCs w:val="32"/>
          <w:u w:val="single"/>
        </w:rPr>
      </w:pPr>
      <w:r>
        <w:rPr>
          <w:rFonts w:ascii="Tinos" w:hAnsi="Tinos" w:eastAsia="Tinos" w:cs="Tinos"/>
          <w:spacing w:val="2"/>
          <w:sz w:val="32"/>
          <w:szCs w:val="32"/>
          <w:highlight w:val="none"/>
          <w:u w:val="single"/>
        </w:rPr>
      </w:r>
      <w:r>
        <w:rPr>
          <w:rFonts w:ascii="Tinos" w:hAnsi="Tinos" w:cs="Tinos"/>
          <w:spacing w:val="2"/>
          <w:sz w:val="32"/>
          <w:szCs w:val="32"/>
          <w:u w:val="single"/>
        </w:rPr>
      </w:r>
      <w:r>
        <w:rPr>
          <w:rFonts w:ascii="Tinos" w:hAnsi="Tinos" w:cs="Tinos"/>
          <w:spacing w:val="2"/>
          <w:sz w:val="32"/>
          <w:szCs w:val="32"/>
          <w:u w:val="single"/>
        </w:rPr>
      </w:r>
    </w:p>
    <w:p>
      <w:pPr>
        <w:pStyle w:val="833"/>
        <w:jc w:val="center"/>
        <w:spacing w:before="0" w:beforeAutospacing="0" w:after="0" w:afterAutospacing="0"/>
        <w:shd w:val="clear" w:color="auto" w:fill="ffffff"/>
        <w:rPr>
          <w:rFonts w:ascii="Tinos" w:hAnsi="Tinos" w:eastAsia="Tinos" w:cs="Tinos"/>
          <w:spacing w:val="2"/>
          <w:sz w:val="32"/>
          <w:szCs w:val="32"/>
          <w:highlight w:val="none"/>
          <w:u w:val="single"/>
        </w:rPr>
      </w:pPr>
      <w:r>
        <w:rPr>
          <w:rFonts w:ascii="Tinos" w:hAnsi="Tinos" w:eastAsia="Tinos" w:cs="Tinos"/>
          <w:spacing w:val="2"/>
          <w:sz w:val="32"/>
          <w:szCs w:val="32"/>
          <w:highlight w:val="none"/>
          <w:u w:val="single"/>
        </w:rPr>
      </w:r>
      <w:r>
        <w:rPr>
          <w:rFonts w:ascii="Tinos" w:hAnsi="Tinos" w:eastAsia="Tinos" w:cs="Tinos"/>
          <w:spacing w:val="2"/>
          <w:sz w:val="32"/>
          <w:szCs w:val="32"/>
          <w:highlight w:val="none"/>
          <w:u w:val="single"/>
        </w:rPr>
      </w:r>
      <w:r>
        <w:rPr>
          <w:rFonts w:ascii="Tinos" w:hAnsi="Tinos" w:eastAsia="Tinos" w:cs="Tinos"/>
          <w:spacing w:val="2"/>
          <w:sz w:val="32"/>
          <w:szCs w:val="32"/>
          <w:highlight w:val="none"/>
          <w:u w:val="single"/>
        </w:rPr>
      </w:r>
    </w:p>
    <w:p>
      <w:pPr>
        <w:pStyle w:val="833"/>
        <w:jc w:val="center"/>
        <w:spacing w:before="0" w:beforeAutospacing="0" w:after="0" w:afterAutospacing="0"/>
        <w:shd w:val="clear" w:color="auto" w:fill="ffffff"/>
        <w:rPr>
          <w:rFonts w:ascii="Tinos" w:hAnsi="Tinos" w:eastAsia="Tinos" w:cs="Tinos"/>
          <w:spacing w:val="2"/>
          <w:sz w:val="32"/>
          <w:szCs w:val="32"/>
          <w:highlight w:val="none"/>
          <w:u w:val="single"/>
        </w:rPr>
      </w:pPr>
      <w:r>
        <w:rPr>
          <w:rFonts w:ascii="Tinos" w:hAnsi="Tinos" w:eastAsia="Tinos" w:cs="Tinos"/>
          <w:spacing w:val="2"/>
          <w:sz w:val="32"/>
          <w:szCs w:val="32"/>
          <w:highlight w:val="none"/>
          <w:u w:val="single"/>
        </w:rPr>
      </w:r>
      <w:r>
        <w:rPr>
          <w:rFonts w:ascii="Tinos" w:hAnsi="Tinos" w:eastAsia="Tinos" w:cs="Tinos"/>
          <w:spacing w:val="2"/>
          <w:sz w:val="32"/>
          <w:szCs w:val="32"/>
          <w:highlight w:val="none"/>
          <w:u w:val="single"/>
        </w:rPr>
      </w:r>
      <w:r>
        <w:rPr>
          <w:rFonts w:ascii="Tinos" w:hAnsi="Tinos" w:eastAsia="Tinos" w:cs="Tinos"/>
          <w:spacing w:val="2"/>
          <w:sz w:val="32"/>
          <w:szCs w:val="32"/>
          <w:highlight w:val="none"/>
          <w:u w:val="single"/>
        </w:rPr>
      </w:r>
    </w:p>
    <w:p>
      <w:pPr>
        <w:pStyle w:val="833"/>
        <w:jc w:val="center"/>
        <w:spacing w:before="0" w:beforeAutospacing="0" w:after="0" w:afterAutospacing="0"/>
        <w:shd w:val="clear" w:color="auto" w:fill="ffffff"/>
        <w:rPr>
          <w:rFonts w:ascii="Tinos" w:hAnsi="Tinos" w:eastAsia="Tinos" w:cs="Tinos"/>
          <w:spacing w:val="2"/>
          <w:sz w:val="32"/>
          <w:szCs w:val="32"/>
          <w:highlight w:val="none"/>
          <w:u w:val="single"/>
        </w:rPr>
      </w:pPr>
      <w:r>
        <w:rPr>
          <w:rFonts w:ascii="Tinos" w:hAnsi="Tinos" w:eastAsia="Tinos" w:cs="Tinos"/>
          <w:spacing w:val="2"/>
          <w:sz w:val="32"/>
          <w:szCs w:val="32"/>
          <w:highlight w:val="none"/>
          <w:u w:val="single"/>
        </w:rPr>
      </w:r>
      <w:r>
        <w:rPr>
          <w:rFonts w:ascii="Tinos" w:hAnsi="Tinos" w:eastAsia="Tinos" w:cs="Tinos"/>
          <w:spacing w:val="2"/>
          <w:sz w:val="32"/>
          <w:szCs w:val="32"/>
          <w:highlight w:val="none"/>
          <w:u w:val="single"/>
        </w:rPr>
      </w:r>
      <w:r>
        <w:rPr>
          <w:rFonts w:ascii="Tinos" w:hAnsi="Tinos" w:eastAsia="Tinos" w:cs="Tinos"/>
          <w:spacing w:val="2"/>
          <w:sz w:val="32"/>
          <w:szCs w:val="32"/>
          <w:highlight w:val="none"/>
          <w:u w:val="single"/>
        </w:rPr>
      </w:r>
    </w:p>
    <w:p>
      <w:pPr>
        <w:pStyle w:val="833"/>
        <w:jc w:val="center"/>
        <w:spacing w:before="0" w:beforeAutospacing="0" w:after="0" w:afterAutospacing="0"/>
        <w:shd w:val="clear" w:color="auto" w:fill="ffffff"/>
        <w:rPr>
          <w:rFonts w:ascii="Tinos" w:hAnsi="Tinos" w:eastAsia="Tinos" w:cs="Tinos"/>
          <w:spacing w:val="2"/>
          <w:sz w:val="32"/>
          <w:szCs w:val="32"/>
          <w:highlight w:val="none"/>
          <w:u w:val="single"/>
        </w:rPr>
      </w:pPr>
      <w:r>
        <w:rPr>
          <w:rFonts w:ascii="Tinos" w:hAnsi="Tinos" w:eastAsia="Tinos" w:cs="Tinos"/>
          <w:spacing w:val="2"/>
          <w:sz w:val="32"/>
          <w:szCs w:val="32"/>
          <w:u w:val="single"/>
        </w:rPr>
        <w:t xml:space="preserve"> </w:t>
      </w:r>
      <w:r>
        <w:rPr>
          <w:rFonts w:ascii="Tinos" w:hAnsi="Tinos" w:eastAsia="Tinos" w:cs="Tinos"/>
          <w:spacing w:val="2"/>
          <w:sz w:val="32"/>
          <w:szCs w:val="32"/>
          <w:highlight w:val="none"/>
          <w:u w:val="single"/>
        </w:rPr>
      </w:r>
      <w:r>
        <w:rPr>
          <w:rFonts w:ascii="Tinos" w:hAnsi="Tinos" w:eastAsia="Tinos" w:cs="Tinos"/>
          <w:spacing w:val="2"/>
          <w:sz w:val="32"/>
          <w:szCs w:val="32"/>
          <w:highlight w:val="none"/>
          <w:u w:val="single"/>
        </w:rPr>
      </w:r>
    </w:p>
    <w:p>
      <w:pPr>
        <w:pStyle w:val="833"/>
        <w:jc w:val="center"/>
        <w:spacing w:before="0" w:beforeAutospacing="0" w:after="0" w:afterAutospacing="0"/>
        <w:shd w:val="clear" w:color="auto" w:fill="ffffff"/>
        <w:rPr>
          <w:rFonts w:ascii="Tinos" w:hAnsi="Tinos" w:cs="Tinos"/>
          <w:spacing w:val="2"/>
          <w:sz w:val="32"/>
          <w:szCs w:val="32"/>
          <w:u w:val="none"/>
        </w:rPr>
      </w:pPr>
      <w:r>
        <w:rPr>
          <w:rFonts w:ascii="Tinos" w:hAnsi="Tinos" w:eastAsia="Tinos" w:cs="Tinos"/>
          <w:spacing w:val="2"/>
          <w:sz w:val="32"/>
          <w:szCs w:val="32"/>
          <w:highlight w:val="none"/>
          <w:u w:val="none"/>
          <w:shd w:val="clear" w:color="auto" w:fill="ffffff"/>
        </w:rPr>
      </w:r>
      <w:r>
        <w:rPr>
          <w:rFonts w:ascii="Tinos" w:hAnsi="Tinos" w:cs="Tinos"/>
          <w:spacing w:val="2"/>
          <w:sz w:val="32"/>
          <w:szCs w:val="32"/>
          <w:u w:val="none"/>
        </w:rPr>
      </w:r>
      <w:r>
        <w:rPr>
          <w:rFonts w:ascii="Tinos" w:hAnsi="Tinos" w:cs="Tinos"/>
          <w:spacing w:val="2"/>
          <w:sz w:val="32"/>
          <w:szCs w:val="32"/>
          <w:u w:val="none"/>
        </w:rPr>
      </w:r>
    </w:p>
    <w:p>
      <w:pPr>
        <w:pStyle w:val="833"/>
        <w:jc w:val="center"/>
        <w:spacing w:before="0" w:beforeAutospacing="0" w:after="0" w:afterAutospacing="0"/>
        <w:shd w:val="clear" w:color="auto" w:fill="ffffff"/>
        <w:rPr>
          <w:rFonts w:ascii="Tinos" w:hAnsi="Tinos" w:eastAsia="Tinos" w:cs="Tinos"/>
          <w:spacing w:val="2"/>
          <w:sz w:val="32"/>
          <w:szCs w:val="32"/>
          <w:highlight w:val="none"/>
          <w:u w:val="none"/>
          <w:shd w:val="clear" w:color="auto" w:fill="ffffff"/>
        </w:rPr>
      </w:pPr>
      <w:r>
        <w:rPr>
          <w:rFonts w:ascii="Tinos" w:hAnsi="Tinos" w:eastAsia="Tinos" w:cs="Tinos"/>
          <w:spacing w:val="2"/>
          <w:sz w:val="32"/>
          <w:szCs w:val="32"/>
          <w:u w:val="none"/>
          <w:shd w:val="clear" w:color="auto" w:fill="ffffff"/>
        </w:rPr>
        <w:t xml:space="preserve">Для получения субсидии граждане  представляют в Управление  по месту постоянного жительства </w:t>
      </w:r>
      <w:r>
        <w:rPr>
          <w:rFonts w:ascii="Tinos" w:hAnsi="Tinos" w:eastAsia="Tinos" w:cs="Tinos"/>
          <w:spacing w:val="2"/>
          <w:sz w:val="32"/>
          <w:szCs w:val="32"/>
          <w:u w:val="none"/>
          <w:shd w:val="clear" w:color="auto" w:fill="ffffff"/>
        </w:rPr>
        <w:t xml:space="preserve"> </w:t>
      </w:r>
      <w:r>
        <w:rPr>
          <w:rFonts w:ascii="Tinos" w:hAnsi="Tinos" w:eastAsia="Tinos" w:cs="Tinos"/>
          <w:spacing w:val="2"/>
          <w:sz w:val="32"/>
          <w:szCs w:val="32"/>
          <w:u w:val="none"/>
          <w:shd w:val="clear" w:color="auto" w:fill="ffffff"/>
        </w:rPr>
        <w:t xml:space="preserve">заявление о предоставлении субсидии с указанием всех членов семьи и степени родства и приложением </w:t>
      </w:r>
      <w:r>
        <w:rPr>
          <w:rFonts w:ascii="Tinos" w:hAnsi="Tinos" w:eastAsia="Tinos" w:cs="Tinos"/>
          <w:spacing w:val="2"/>
          <w:sz w:val="32"/>
          <w:szCs w:val="32"/>
          <w:highlight w:val="none"/>
          <w:u w:val="none"/>
          <w:shd w:val="clear" w:color="auto" w:fill="ffffff"/>
        </w:rPr>
      </w:r>
      <w:r>
        <w:rPr>
          <w:rFonts w:ascii="Tinos" w:hAnsi="Tinos" w:eastAsia="Tinos" w:cs="Tinos"/>
          <w:spacing w:val="2"/>
          <w:sz w:val="32"/>
          <w:szCs w:val="32"/>
          <w:highlight w:val="none"/>
          <w:u w:val="none"/>
          <w:shd w:val="clear" w:color="auto" w:fill="ffffff"/>
        </w:rPr>
      </w:r>
    </w:p>
    <w:p>
      <w:pPr>
        <w:pStyle w:val="833"/>
        <w:jc w:val="center"/>
        <w:spacing w:before="0" w:beforeAutospacing="0" w:after="0" w:afterAutospacing="0"/>
        <w:shd w:val="clear" w:color="auto" w:fill="ffffff"/>
        <w:rPr>
          <w:rFonts w:ascii="Tinos" w:hAnsi="Tinos" w:cs="Tinos"/>
          <w:spacing w:val="2"/>
          <w:sz w:val="32"/>
          <w:szCs w:val="32"/>
          <w:u w:val="none"/>
        </w:rPr>
      </w:pPr>
      <w:r>
        <w:rPr>
          <w:rFonts w:ascii="Tinos" w:hAnsi="Tinos" w:eastAsia="Tinos" w:cs="Tinos"/>
          <w:spacing w:val="2"/>
          <w:sz w:val="32"/>
          <w:szCs w:val="32"/>
          <w:u w:val="none"/>
          <w:shd w:val="clear" w:color="auto" w:fill="ffffff"/>
        </w:rPr>
        <w:t xml:space="preserve">основных   документов:</w:t>
      </w:r>
      <w:r>
        <w:rPr>
          <w:rFonts w:ascii="Tinos" w:hAnsi="Tinos" w:cs="Tinos"/>
          <w:spacing w:val="2"/>
          <w:sz w:val="32"/>
          <w:szCs w:val="32"/>
          <w:u w:val="none"/>
        </w:rPr>
      </w:r>
      <w:r>
        <w:rPr>
          <w:rFonts w:ascii="Tinos" w:hAnsi="Tinos" w:cs="Tinos"/>
          <w:spacing w:val="2"/>
          <w:sz w:val="32"/>
          <w:szCs w:val="32"/>
          <w:u w:val="none"/>
        </w:rPr>
      </w:r>
    </w:p>
    <w:p>
      <w:pPr>
        <w:pStyle w:val="832"/>
        <w:jc w:val="both"/>
        <w:spacing w:after="0" w:line="240" w:lineRule="auto"/>
        <w:rPr>
          <w:rFonts w:ascii="Tinos" w:hAnsi="Tinos" w:eastAsia="Tinos" w:cs="Tinos"/>
          <w:b/>
          <w:bCs/>
          <w:sz w:val="26"/>
          <w:szCs w:val="26"/>
          <w:highlight w:val="none"/>
        </w:rPr>
      </w:pPr>
      <w:r>
        <w:rPr>
          <w:rFonts w:ascii="Tinos" w:hAnsi="Tinos" w:eastAsia="Tinos" w:cs="Tinos"/>
          <w:b/>
          <w:bCs/>
          <w:sz w:val="26"/>
          <w:szCs w:val="26"/>
        </w:rPr>
      </w:r>
      <w:r>
        <w:rPr>
          <w:rFonts w:ascii="Tinos" w:hAnsi="Tinos" w:eastAsia="Tinos" w:cs="Tinos"/>
          <w:b/>
          <w:bCs/>
          <w:sz w:val="26"/>
          <w:szCs w:val="26"/>
          <w:highlight w:val="none"/>
        </w:rPr>
      </w:r>
    </w:p>
    <w:p>
      <w:pPr>
        <w:pStyle w:val="833"/>
        <w:jc w:val="both"/>
        <w:spacing w:before="0" w:beforeAutospacing="0" w:after="0" w:afterAutospacing="0"/>
        <w:shd w:val="clear" w:color="auto" w:fill="ffffff"/>
        <w:rPr>
          <w:rFonts w:ascii="Tinos" w:hAnsi="Tinos" w:cs="Tinos"/>
          <w:b w:val="0"/>
          <w:bCs w:val="0"/>
          <w:color w:val="000000" w:themeColor="text1"/>
          <w:spacing w:val="2"/>
          <w:sz w:val="26"/>
          <w:szCs w:val="26"/>
          <w:highlight w:val="none"/>
          <w:u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32"/>
          <w:szCs w:val="32"/>
          <w:u w:val="none"/>
        </w:rPr>
        <w:t xml:space="preserve">      </w:t>
      </w:r>
      <w:r>
        <w:rPr>
          <w:rFonts w:ascii="Tinos" w:hAnsi="Tinos" w:eastAsia="Tinos" w:cs="Tinos"/>
          <w:b/>
          <w:bCs/>
          <w:color w:val="000000" w:themeColor="text1"/>
          <w:sz w:val="32"/>
          <w:szCs w:val="32"/>
          <w:u w:val="none"/>
        </w:rPr>
        <w:t xml:space="preserve"> 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u w:val="none"/>
        </w:rPr>
        <w:t xml:space="preserve"> *-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u w:val="none"/>
        </w:rPr>
        <w:t xml:space="preserve"> с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ведения о суммах, начисленных получателю субсидии для оплаты за жилое  помещение и коммунальные услуги, и сведения о суммах, уплаченных  получателем субсидии за жилое помещение и коммунальные услуги</w:t>
      </w:r>
      <w:r>
        <w:rPr>
          <w:rFonts w:ascii="Tinos" w:hAnsi="Tinos" w:eastAsia="Tinos" w:cs="Tinos"/>
          <w:b w:val="0"/>
          <w:bCs w:val="0"/>
          <w:color w:val="000000" w:themeColor="text1"/>
          <w:spacing w:val="2"/>
          <w:sz w:val="28"/>
          <w:szCs w:val="28"/>
          <w:u w:val="none"/>
        </w:rPr>
        <w:t xml:space="preserve">;</w:t>
      </w:r>
      <w:r>
        <w:rPr>
          <w:rFonts w:ascii="Tinos" w:hAnsi="Tinos" w:cs="Tinos"/>
          <w:b w:val="0"/>
          <w:bCs w:val="0"/>
          <w:color w:val="000000" w:themeColor="text1"/>
          <w:spacing w:val="2"/>
          <w:sz w:val="28"/>
          <w:szCs w:val="28"/>
          <w:highlight w:val="none"/>
          <w:u w:val="none"/>
        </w:rPr>
      </w:r>
      <w:r>
        <w:rPr>
          <w:rFonts w:ascii="Tinos" w:hAnsi="Tinos" w:cs="Tinos"/>
          <w:b w:val="0"/>
          <w:bCs w:val="0"/>
          <w:color w:val="000000" w:themeColor="text1"/>
          <w:spacing w:val="2"/>
          <w:sz w:val="28"/>
          <w:szCs w:val="28"/>
          <w:highlight w:val="none"/>
          <w:u w:val="none"/>
        </w:rPr>
      </w:r>
    </w:p>
    <w:p>
      <w:pPr>
        <w:pStyle w:val="833"/>
        <w:jc w:val="both"/>
        <w:spacing w:before="0" w:beforeAutospacing="0" w:after="0" w:afterAutospacing="0"/>
        <w:shd w:val="clear" w:color="auto" w:fill="ffffff"/>
        <w:rPr>
          <w:rFonts w:ascii="Tinos" w:hAnsi="Tinos" w:cs="Tinos"/>
          <w:b w:val="0"/>
          <w:bCs w:val="0"/>
          <w:color w:val="000000" w:themeColor="text1"/>
          <w:spacing w:val="2"/>
          <w:sz w:val="26"/>
          <w:szCs w:val="26"/>
          <w:highlight w:val="none"/>
          <w:u w:val="single"/>
        </w:rPr>
      </w:pPr>
      <w:r>
        <w:rPr>
          <w:rFonts w:ascii="Tinos" w:hAnsi="Tinos" w:eastAsia="Tinos" w:cs="Tinos"/>
          <w:b w:val="0"/>
          <w:bCs w:val="0"/>
          <w:color w:val="000000" w:themeColor="text1"/>
          <w:spacing w:val="2"/>
          <w:sz w:val="28"/>
          <w:szCs w:val="28"/>
          <w:highlight w:val="none"/>
          <w:u w:val="none"/>
        </w:rPr>
        <w:t xml:space="preserve">         </w:t>
      </w:r>
      <w:r>
        <w:rPr>
          <w:rFonts w:ascii="Tinos" w:hAnsi="Tinos" w:eastAsia="Tinos" w:cs="Tinos"/>
          <w:b/>
          <w:bCs/>
          <w:color w:val="000000" w:themeColor="text1"/>
          <w:spacing w:val="2"/>
          <w:sz w:val="28"/>
          <w:szCs w:val="28"/>
          <w:highlight w:val="none"/>
          <w:u w:val="none"/>
        </w:rPr>
        <w:t xml:space="preserve"> *</w:t>
      </w:r>
      <w:r>
        <w:rPr>
          <w:rFonts w:ascii="Tinos" w:hAnsi="Tinos" w:eastAsia="Tinos" w:cs="Tinos"/>
          <w:b w:val="0"/>
          <w:bCs w:val="0"/>
          <w:color w:val="000000" w:themeColor="text1"/>
          <w:spacing w:val="2"/>
          <w:sz w:val="28"/>
          <w:szCs w:val="28"/>
          <w:highlight w:val="none"/>
          <w:u w:val="none"/>
        </w:rPr>
        <w:t xml:space="preserve">- с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ведения о государственной регистрации рождения, смерти, заключения (расторжения) брака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в случае регистрации записи соответствующего акта компетентным органом иностранного государства;</w:t>
      </w:r>
      <w:r>
        <w:rPr>
          <w:rFonts w:ascii="Tinos" w:hAnsi="Tinos" w:cs="Tinos"/>
          <w:b w:val="0"/>
          <w:bCs w:val="0"/>
          <w:color w:val="000000" w:themeColor="text1"/>
          <w:spacing w:val="2"/>
          <w:sz w:val="28"/>
          <w:szCs w:val="28"/>
          <w:highlight w:val="none"/>
          <w:u w:val="single"/>
        </w:rPr>
      </w:r>
      <w:r>
        <w:rPr>
          <w:rFonts w:ascii="Tinos" w:hAnsi="Tinos" w:cs="Tinos"/>
          <w:b w:val="0"/>
          <w:bCs w:val="0"/>
          <w:color w:val="000000" w:themeColor="text1"/>
          <w:spacing w:val="2"/>
          <w:sz w:val="28"/>
          <w:szCs w:val="28"/>
          <w:highlight w:val="none"/>
          <w:u w:val="single"/>
        </w:rPr>
      </w:r>
    </w:p>
    <w:p>
      <w:pPr>
        <w:pStyle w:val="833"/>
        <w:jc w:val="both"/>
        <w:spacing w:before="0" w:beforeAutospacing="0" w:after="0" w:afterAutospacing="0"/>
        <w:shd w:val="clear" w:color="auto" w:fill="ffffff"/>
        <w:rPr>
          <w:rFonts w:ascii="Tinos" w:hAnsi="Tinos" w:cs="Tinos"/>
          <w:b w:val="0"/>
          <w:bCs w:val="0"/>
          <w:color w:val="000000" w:themeColor="text1"/>
          <w:spacing w:val="2"/>
          <w:sz w:val="26"/>
          <w:szCs w:val="26"/>
          <w:u w:val="single"/>
        </w:rPr>
      </w:pPr>
      <w:r>
        <w:rPr>
          <w:rFonts w:ascii="Tinos" w:hAnsi="Tinos" w:eastAsia="Tinos" w:cs="Tinos"/>
          <w:b w:val="0"/>
          <w:bCs w:val="0"/>
          <w:color w:val="000000" w:themeColor="text1"/>
          <w:spacing w:val="2"/>
          <w:sz w:val="28"/>
          <w:szCs w:val="28"/>
          <w:highlight w:val="none"/>
          <w:u w:val="none"/>
        </w:rPr>
        <w:t xml:space="preserve">            </w:t>
      </w:r>
      <w:r>
        <w:rPr>
          <w:rFonts w:ascii="Tinos" w:hAnsi="Tinos" w:eastAsia="Tinos" w:cs="Tinos"/>
          <w:b/>
          <w:bCs/>
          <w:color w:val="000000" w:themeColor="text1"/>
          <w:spacing w:val="2"/>
          <w:sz w:val="28"/>
          <w:szCs w:val="28"/>
          <w:highlight w:val="none"/>
          <w:u w:val="none"/>
        </w:rPr>
        <w:t xml:space="preserve"> *-</w:t>
      </w:r>
      <w:r>
        <w:rPr>
          <w:rFonts w:ascii="Tinos" w:hAnsi="Tinos" w:eastAsia="Tinos" w:cs="Tinos"/>
          <w:b w:val="0"/>
          <w:bCs w:val="0"/>
          <w:color w:val="000000" w:themeColor="text1"/>
          <w:spacing w:val="2"/>
          <w:sz w:val="28"/>
          <w:szCs w:val="28"/>
          <w:highlight w:val="none"/>
          <w:u w:val="none"/>
        </w:rPr>
        <w:t xml:space="preserve">  с</w:t>
      </w:r>
      <w:r>
        <w:rPr>
          <w:rFonts w:ascii="Tinos" w:hAnsi="Tinos" w:eastAsia="Tinos" w:cs="Tinos"/>
          <w:b w:val="0"/>
          <w:bCs w:val="0"/>
          <w:spacing w:val="2"/>
          <w:sz w:val="28"/>
          <w:szCs w:val="28"/>
          <w:u w:val="none"/>
        </w:rPr>
        <w:t xml:space="preserve">ведения об отдельных видах доходов </w:t>
      </w:r>
      <w:r>
        <w:rPr>
          <w:rFonts w:ascii="Tinos" w:hAnsi="Tinos" w:eastAsia="Tinos" w:cs="Tinos"/>
          <w:b w:val="0"/>
          <w:bCs w:val="0"/>
          <w:spacing w:val="2"/>
          <w:sz w:val="28"/>
          <w:szCs w:val="28"/>
        </w:rPr>
        <w:t xml:space="preserve"> заявителя и членов его семьи</w:t>
      </w:r>
      <w:r>
        <w:rPr>
          <w:rFonts w:ascii="Tinos" w:hAnsi="Tinos" w:eastAsia="Tinos" w:cs="Tinos"/>
          <w:b w:val="0"/>
          <w:bCs w:val="0"/>
          <w:spacing w:val="2"/>
          <w:sz w:val="28"/>
          <w:szCs w:val="28"/>
        </w:rPr>
        <w:t xml:space="preserve">, учитываемых при решении вопроса о предоставлении субсидии, согласно Перечню (по постановлению № 761 в зависимости от сложившейся жизненной ситуации </w:t>
      </w:r>
      <w:r>
        <w:rPr>
          <w:rFonts w:ascii="Tinos" w:hAnsi="Tinos" w:eastAsia="Tinos" w:cs="Tinos"/>
          <w:spacing w:val="2"/>
          <w:sz w:val="28"/>
          <w:szCs w:val="28"/>
        </w:rPr>
        <w:t xml:space="preserve">-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стипендии, алиментов, доходов военнослужащих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и др.)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  <w:t xml:space="preserve">;</w:t>
      </w:r>
      <w:r>
        <w:rPr>
          <w:rFonts w:ascii="Tinos" w:hAnsi="Tinos" w:cs="Tinos"/>
          <w:b w:val="0"/>
          <w:bCs w:val="0"/>
          <w:color w:val="000000" w:themeColor="text1"/>
          <w:spacing w:val="2"/>
          <w:sz w:val="28"/>
          <w:szCs w:val="28"/>
          <w:u w:val="single"/>
        </w:rPr>
      </w:r>
      <w:r>
        <w:rPr>
          <w:rFonts w:ascii="Tinos" w:hAnsi="Tinos" w:cs="Tinos"/>
          <w:b w:val="0"/>
          <w:bCs w:val="0"/>
          <w:color w:val="000000" w:themeColor="text1"/>
          <w:spacing w:val="2"/>
          <w:sz w:val="28"/>
          <w:szCs w:val="28"/>
          <w:u w:val="single"/>
        </w:rPr>
      </w:r>
    </w:p>
    <w:p>
      <w:pPr>
        <w:pStyle w:val="842"/>
        <w:ind w:firstLine="708"/>
        <w:jc w:val="both"/>
        <w:spacing w:before="0" w:beforeAutospacing="0" w:after="0" w:afterAutospacing="0"/>
        <w:shd w:val="clear" w:color="auto" w:fill="ffffff"/>
        <w:rPr>
          <w:rFonts w:ascii="Tinos" w:hAnsi="Tinos" w:cs="Tinos"/>
          <w:spacing w:val="2"/>
          <w:sz w:val="26"/>
          <w:szCs w:val="26"/>
        </w:rPr>
      </w:pPr>
      <w:r>
        <w:rPr>
          <w:rFonts w:ascii="Tinos" w:hAnsi="Tinos" w:eastAsia="Tinos" w:cs="Tinos"/>
          <w:b/>
          <w:bCs/>
          <w:spacing w:val="2"/>
          <w:sz w:val="28"/>
          <w:szCs w:val="28"/>
          <w:u w:val="none"/>
        </w:rPr>
        <w:t xml:space="preserve">*- </w:t>
      </w:r>
      <w:r>
        <w:rPr>
          <w:rFonts w:ascii="Tinos" w:hAnsi="Tinos" w:eastAsia="Tinos" w:cs="Tinos"/>
          <w:spacing w:val="2"/>
          <w:sz w:val="28"/>
          <w:szCs w:val="28"/>
          <w:u w:val="none"/>
        </w:rPr>
        <w:t xml:space="preserve">сведения о документах, подтверждающих правовые основания владения и пользования заявителем жилым помещением</w:t>
      </w:r>
      <w:r>
        <w:rPr>
          <w:rFonts w:ascii="Tinos" w:hAnsi="Tinos" w:eastAsia="Tinos" w:cs="Tinos"/>
          <w:spacing w:val="2"/>
          <w:sz w:val="28"/>
          <w:szCs w:val="28"/>
          <w:u w:val="none"/>
        </w:rPr>
        <w:t xml:space="preserve">,</w:t>
      </w:r>
      <w:r>
        <w:rPr>
          <w:rFonts w:ascii="Tinos" w:hAnsi="Tinos" w:eastAsia="Tinos" w:cs="Tinos"/>
          <w:spacing w:val="2"/>
          <w:sz w:val="28"/>
          <w:szCs w:val="28"/>
        </w:rPr>
        <w:t xml:space="preserve"> в котором он зарегистрирова</w:t>
      </w:r>
      <w:r>
        <w:rPr>
          <w:rFonts w:ascii="Tinos" w:hAnsi="Tinos" w:eastAsia="Tinos" w:cs="Tinos"/>
          <w:spacing w:val="2"/>
          <w:sz w:val="28"/>
          <w:szCs w:val="28"/>
        </w:rPr>
        <w:t xml:space="preserve">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жилищного,жилищно-строительного кооператива;</w:t>
      </w:r>
      <w:r>
        <w:rPr>
          <w:rFonts w:ascii="Tinos" w:hAnsi="Tinos" w:cs="Tinos"/>
          <w:spacing w:val="2"/>
          <w:sz w:val="28"/>
          <w:szCs w:val="28"/>
        </w:rPr>
      </w:r>
      <w:r>
        <w:rPr>
          <w:rFonts w:ascii="Tinos" w:hAnsi="Tinos" w:cs="Tinos"/>
          <w:spacing w:val="2"/>
          <w:sz w:val="28"/>
          <w:szCs w:val="28"/>
        </w:rPr>
      </w:r>
    </w:p>
    <w:p>
      <w:pPr>
        <w:pStyle w:val="658"/>
        <w:ind w:left="0" w:right="0" w:firstLine="480"/>
        <w:jc w:val="both"/>
        <w:spacing w:before="0" w:after="240" w:line="240" w:lineRule="auto"/>
        <w:shd w:val="clear" w:color="ffffff" w:fill="ffffff"/>
        <w:rPr>
          <w:rFonts w:ascii="Tinos" w:hAnsi="Tinos" w:eastAsia="Tinos" w:cs="Tinos"/>
          <w:color w:val="000000" w:themeColor="text1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 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*-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:u w:val="none"/>
        </w:rPr>
        <w:t xml:space="preserve">р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  <w:u w:val="none"/>
        </w:rPr>
        <w:t xml:space="preserve">еквизиты счета получателя выплаты, открытого в кредитной организации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  <w:u w:val="none"/>
        </w:rPr>
        <w:t xml:space="preserve">(при условии выбора способа получения выплаты через кредитную организацию)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  <w:u w:val="none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32"/>
          <w:szCs w:val="32"/>
          <w:u w:val="none"/>
        </w:rPr>
      </w:r>
      <w:r>
        <w:rPr>
          <w:rFonts w:ascii="Tinos" w:hAnsi="Tinos" w:cs="Tinos"/>
          <w:b w:val="0"/>
          <w:bCs w:val="0"/>
          <w:color w:val="000000" w:themeColor="text1"/>
          <w:spacing w:val="2"/>
          <w:sz w:val="32"/>
          <w:szCs w:val="32"/>
          <w:highlight w:val="none"/>
          <w:u w:val="none"/>
        </w:rPr>
      </w:r>
      <w:r/>
      <w:r>
        <w:rPr>
          <w:rFonts w:ascii="Tinos" w:hAnsi="Tinos" w:eastAsia="Tinos" w:cs="Tinos"/>
          <w:color w:val="000000" w:themeColor="text1"/>
          <w:sz w:val="28"/>
          <w:szCs w:val="28"/>
        </w:rPr>
      </w:r>
    </w:p>
    <w:p>
      <w:pPr>
        <w:pStyle w:val="842"/>
        <w:jc w:val="both"/>
        <w:spacing w:before="0" w:beforeAutospacing="0" w:after="0" w:afterAutospacing="0"/>
        <w:shd w:val="clear" w:color="auto" w:fill="ffffff"/>
        <w:rPr>
          <w:rFonts w:ascii="Tinos" w:hAnsi="Tinos" w:cs="Tinos"/>
          <w:spacing w:val="2"/>
          <w:sz w:val="32"/>
          <w:szCs w:val="32"/>
        </w:rPr>
      </w:pPr>
      <w:r>
        <w:rPr>
          <w:rFonts w:ascii="Tinos" w:hAnsi="Tinos" w:eastAsia="Tinos" w:cs="Tinos"/>
          <w:spacing w:val="2"/>
          <w:sz w:val="32"/>
          <w:szCs w:val="32"/>
        </w:rPr>
        <w:tab/>
      </w:r>
      <w:r>
        <w:rPr>
          <w:rFonts w:ascii="Tinos" w:hAnsi="Tinos" w:cs="Tinos"/>
          <w:spacing w:val="2"/>
          <w:sz w:val="32"/>
          <w:szCs w:val="32"/>
        </w:rPr>
      </w:r>
      <w:r>
        <w:rPr>
          <w:rFonts w:ascii="Tinos" w:hAnsi="Tinos" w:cs="Tinos"/>
          <w:spacing w:val="2"/>
          <w:sz w:val="32"/>
          <w:szCs w:val="32"/>
        </w:rPr>
      </w:r>
    </w:p>
    <w:p>
      <w:pPr>
        <w:pStyle w:val="832"/>
        <w:jc w:val="center"/>
        <w:spacing w:after="0" w:line="240" w:lineRule="auto"/>
        <w:rPr>
          <w:rFonts w:ascii="Tinos" w:hAnsi="Tinos" w:cs="Tinos"/>
          <w:b/>
          <w:sz w:val="32"/>
          <w:szCs w:val="32"/>
        </w:rPr>
      </w:pPr>
      <w:r>
        <w:rPr>
          <w:rFonts w:ascii="Tinos" w:hAnsi="Tinos" w:eastAsia="Tinos" w:cs="Tinos"/>
          <w:b/>
          <w:sz w:val="32"/>
          <w:szCs w:val="32"/>
        </w:rPr>
        <w:t xml:space="preserve">Субсидия   предоставляется сроком на 6 месяцев.</w:t>
      </w:r>
      <w:r>
        <w:rPr>
          <w:rFonts w:ascii="Tinos" w:hAnsi="Tinos" w:cs="Tinos"/>
          <w:b/>
          <w:sz w:val="32"/>
          <w:szCs w:val="32"/>
        </w:rPr>
      </w:r>
      <w:r>
        <w:rPr>
          <w:rFonts w:ascii="Tinos" w:hAnsi="Tinos" w:cs="Tinos"/>
          <w:b/>
          <w:sz w:val="32"/>
          <w:szCs w:val="32"/>
        </w:rPr>
      </w:r>
    </w:p>
    <w:p>
      <w:pPr>
        <w:pStyle w:val="832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32"/>
          <w:szCs w:val="32"/>
        </w:rPr>
      </w:pPr>
      <w:r>
        <w:rPr>
          <w:sz w:val="28"/>
          <w:szCs w:val="28"/>
          <w:lang w:eastAsia="ru-RU"/>
        </w:rPr>
      </w:r>
      <w:r>
        <w:rPr>
          <w:rFonts w:ascii="Tinos" w:hAnsi="Tinos" w:eastAsia="Tinos" w:cs="Tinos"/>
          <w:b w:val="0"/>
          <w:bCs w:val="0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При подаче заявления о предоставлении субсидии и полного комплекта документов, обязанность по представлению которых возложена на заявителя в соответствии с</w:t>
      </w:r>
      <w:r>
        <w:rPr>
          <w:rFonts w:ascii="Times New Roman" w:hAnsi="Times New Roman" w:eastAsia="Times New Roman" w:cs="Times New Roman"/>
          <w:color w:val="000000"/>
          <w:sz w:val="32"/>
          <w:szCs w:val="32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u w:val="none"/>
        </w:rPr>
        <w:t xml:space="preserve">П</w:t>
      </w:r>
      <w:hyperlink r:id="rId9" w:tooltip="https://docs.cntd.ru/document/901960158#8Q40M6" w:history="1">
        <w:r>
          <w:rPr>
            <w:rStyle w:val="814"/>
            <w:rFonts w:ascii="Times New Roman" w:hAnsi="Times New Roman" w:eastAsia="Times New Roman" w:cs="Times New Roman"/>
            <w:color w:val="000000" w:themeColor="text1"/>
            <w:sz w:val="32"/>
            <w:szCs w:val="32"/>
            <w:u w:val="none"/>
          </w:rPr>
          <w:t xml:space="preserve">еречнем</w:t>
        </w:r>
      </w:hyperlink>
      <w:r>
        <w:rPr>
          <w:rFonts w:ascii="Times New Roman" w:hAnsi="Times New Roman" w:eastAsia="Times New Roman" w:cs="Times New Roman"/>
          <w:color w:val="000000" w:themeColor="text1"/>
          <w:sz w:val="32"/>
          <w:szCs w:val="32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(в зависимости от сложившейся жизненной ситуации), с 1-го по 15-е число месяца субсидия предоставляется с 1-го числа текущего месяца, а при подаче заявления   и представлении 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документов (сведений) с 16-го числа до конца месяца - </w:t>
      </w:r>
      <w:r>
        <w:rPr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1-го числа следующего месяц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</w:t>
      </w:r>
      <w:r>
        <w:rPr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41820</wp:posOffset>
                </wp:positionV>
                <wp:extent cx="4343400" cy="22860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305734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3434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104.25pt;mso-position-horizontal:absolute;mso-position-vertical-relative:text;margin-top:3.29pt;mso-position-vertical:absolute;width:342.00pt;height:180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sectPr>
      <w:footnotePr/>
      <w:endnotePr/>
      <w:type w:val="nextPage"/>
      <w:pgSz w:w="11906" w:h="16838" w:orient="portrait"/>
      <w:pgMar w:top="181" w:right="680" w:bottom="0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rFonts w:ascii="Calibri" w:hAnsi="Calibri" w:eastAsia="Calibri"/>
      <w:sz w:val="22"/>
      <w:szCs w:val="22"/>
      <w:lang w:val="ru-RU" w:eastAsia="en-US" w:bidi="ar-SA"/>
    </w:rPr>
  </w:style>
  <w:style w:type="paragraph" w:styleId="833">
    <w:name w:val="Заголовок 3"/>
    <w:basedOn w:val="832"/>
    <w:next w:val="833"/>
    <w:link w:val="832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character" w:styleId="834">
    <w:name w:val="Основной шрифт абзаца"/>
    <w:next w:val="834"/>
    <w:link w:val="832"/>
    <w:semiHidden/>
  </w:style>
  <w:style w:type="table" w:styleId="835">
    <w:name w:val="Обычная таблица"/>
    <w:next w:val="835"/>
    <w:link w:val="832"/>
    <w:semiHidden/>
    <w:tblPr/>
  </w:style>
  <w:style w:type="numbering" w:styleId="836">
    <w:name w:val="Нет списка"/>
    <w:next w:val="836"/>
    <w:link w:val="832"/>
    <w:semiHidden/>
  </w:style>
  <w:style w:type="paragraph" w:styleId="837">
    <w:name w:val="Текст выноски"/>
    <w:basedOn w:val="832"/>
    <w:next w:val="837"/>
    <w:link w:val="832"/>
    <w:semiHidden/>
    <w:rPr>
      <w:rFonts w:ascii="Tahoma" w:hAnsi="Tahoma" w:cs="Tahoma"/>
      <w:sz w:val="16"/>
      <w:szCs w:val="16"/>
    </w:rPr>
  </w:style>
  <w:style w:type="paragraph" w:styleId="838">
    <w:name w:val="ConsPlusNormal"/>
    <w:next w:val="838"/>
    <w:link w:val="832"/>
    <w:pPr>
      <w:widowControl w:val="off"/>
    </w:pPr>
    <w:rPr>
      <w:rFonts w:ascii="Calibri" w:hAnsi="Calibri" w:eastAsia="Calibri" w:cs="Calibri"/>
      <w:sz w:val="22"/>
      <w:lang w:val="ru-RU" w:eastAsia="ru-RU" w:bidi="ar-SA"/>
    </w:rPr>
  </w:style>
  <w:style w:type="paragraph" w:styleId="839">
    <w:name w:val="formattext topleveltext centertext"/>
    <w:basedOn w:val="832"/>
    <w:next w:val="839"/>
    <w:link w:val="83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0">
    <w:name w:val="apple-converted-space"/>
    <w:basedOn w:val="834"/>
    <w:next w:val="840"/>
    <w:link w:val="832"/>
  </w:style>
  <w:style w:type="character" w:styleId="841">
    <w:name w:val="Гиперссылка"/>
    <w:basedOn w:val="834"/>
    <w:next w:val="841"/>
    <w:link w:val="832"/>
    <w:rPr>
      <w:color w:val="0000ff"/>
      <w:u w:val="single"/>
    </w:rPr>
  </w:style>
  <w:style w:type="paragraph" w:styleId="842">
    <w:name w:val="formattext topleveltext"/>
    <w:basedOn w:val="832"/>
    <w:next w:val="842"/>
    <w:link w:val="83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43" w:default="1">
    <w:name w:val="Default Paragraph Font"/>
    <w:uiPriority w:val="1"/>
    <w:semiHidden/>
    <w:unhideWhenUsed/>
  </w:style>
  <w:style w:type="numbering" w:styleId="844" w:default="1">
    <w:name w:val="No List"/>
    <w:uiPriority w:val="99"/>
    <w:semiHidden/>
    <w:unhideWhenUsed/>
  </w:style>
  <w:style w:type="table" w:styleId="84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ocs.cntd.ru/document/901960158#8Q40M6" TargetMode="External"/><Relationship Id="rId9" Type="http://schemas.openxmlformats.org/officeDocument/2006/relationships/hyperlink" Target="https://docs.cntd.ru/document/901960158#8Q40M6" TargetMode="External"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14 декабря 2005 г</dc:title>
  <dc:creator>Expert</dc:creator>
  <cp:lastModifiedBy>expert</cp:lastModifiedBy>
  <cp:revision>21</cp:revision>
  <dcterms:created xsi:type="dcterms:W3CDTF">2020-04-22T07:12:00Z</dcterms:created>
  <dcterms:modified xsi:type="dcterms:W3CDTF">2025-02-13T09:05:50Z</dcterms:modified>
  <cp:version>786432</cp:version>
</cp:coreProperties>
</file>